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EA17" w14:textId="097B159C" w:rsidR="009A7B29" w:rsidRDefault="00917E39" w:rsidP="00917E39">
      <w:pPr>
        <w:jc w:val="center"/>
      </w:pPr>
      <w:r>
        <w:t>City of Seattle Request for Proposal</w:t>
      </w:r>
    </w:p>
    <w:p w14:paraId="4E165B4B" w14:textId="6D350DFB" w:rsidR="00917E39" w:rsidRDefault="00917E39" w:rsidP="00917E39">
      <w:pPr>
        <w:jc w:val="center"/>
      </w:pPr>
      <w:r>
        <w:t>Addendum</w:t>
      </w:r>
    </w:p>
    <w:p w14:paraId="1C6BC15F" w14:textId="01FCE487" w:rsidR="00917E39" w:rsidRDefault="00917E39" w:rsidP="00917E39">
      <w:pPr>
        <w:jc w:val="center"/>
      </w:pPr>
      <w:r>
        <w:t xml:space="preserve">Updated on:  </w:t>
      </w:r>
      <w:r w:rsidR="00FC5C2F">
        <w:t>August 21, 2024</w:t>
      </w:r>
    </w:p>
    <w:p w14:paraId="6065E0F7" w14:textId="77777777" w:rsidR="00917E39" w:rsidRDefault="00917E39" w:rsidP="00917E39"/>
    <w:p w14:paraId="6D7E4CC3" w14:textId="1A4698BE" w:rsidR="00917E39" w:rsidRPr="00917E39" w:rsidRDefault="00917E39" w:rsidP="00917E39">
      <w:pPr>
        <w:rPr>
          <w:sz w:val="20"/>
          <w:szCs w:val="20"/>
        </w:rPr>
      </w:pPr>
      <w:r w:rsidRPr="00917E39">
        <w:rPr>
          <w:sz w:val="20"/>
          <w:szCs w:val="20"/>
        </w:rPr>
        <w:t xml:space="preserve">The following is additional information regarding </w:t>
      </w:r>
      <w:r w:rsidRPr="00EE1F84">
        <w:rPr>
          <w:b/>
          <w:bCs/>
          <w:sz w:val="20"/>
          <w:szCs w:val="20"/>
        </w:rPr>
        <w:t>Request for Proposal #RET 2024-0</w:t>
      </w:r>
      <w:r w:rsidR="00CD4E41">
        <w:rPr>
          <w:b/>
          <w:bCs/>
          <w:sz w:val="20"/>
          <w:szCs w:val="20"/>
        </w:rPr>
        <w:t>2</w:t>
      </w:r>
      <w:r w:rsidRPr="00917E39">
        <w:rPr>
          <w:sz w:val="20"/>
          <w:szCs w:val="20"/>
        </w:rPr>
        <w:t xml:space="preserve"> titled </w:t>
      </w:r>
      <w:r w:rsidR="00CD4E41">
        <w:rPr>
          <w:sz w:val="20"/>
          <w:szCs w:val="20"/>
        </w:rPr>
        <w:t>Actuarial</w:t>
      </w:r>
      <w:r w:rsidRPr="00917E39">
        <w:rPr>
          <w:sz w:val="20"/>
          <w:szCs w:val="20"/>
        </w:rPr>
        <w:t xml:space="preserve"> Services released on </w:t>
      </w:r>
      <w:r w:rsidR="00FF3CB6">
        <w:rPr>
          <w:sz w:val="20"/>
          <w:szCs w:val="20"/>
        </w:rPr>
        <w:t>July 24</w:t>
      </w:r>
      <w:r w:rsidRPr="00917E39">
        <w:rPr>
          <w:sz w:val="20"/>
          <w:szCs w:val="20"/>
        </w:rPr>
        <w:t xml:space="preserve">, 2024. The due date and time for responses is </w:t>
      </w:r>
      <w:r w:rsidR="008078A7">
        <w:rPr>
          <w:sz w:val="20"/>
          <w:szCs w:val="20"/>
        </w:rPr>
        <w:t xml:space="preserve">August 30, </w:t>
      </w:r>
      <w:proofErr w:type="gramStart"/>
      <w:r w:rsidR="008078A7">
        <w:rPr>
          <w:sz w:val="20"/>
          <w:szCs w:val="20"/>
        </w:rPr>
        <w:t>2024</w:t>
      </w:r>
      <w:proofErr w:type="gramEnd"/>
      <w:r w:rsidRPr="00917E39">
        <w:rPr>
          <w:sz w:val="20"/>
          <w:szCs w:val="20"/>
        </w:rPr>
        <w:t xml:space="preserve"> at 3:00 p.m. (PST).  This addendum includes both questions from prospective proposers and the City’s answers and revisions to the RFP.  This addendum is hereby made part of the RFP and therefore, the information contained herein shall be taken into consideration when preparing and submitting a bid/proposal.</w:t>
      </w:r>
    </w:p>
    <w:p w14:paraId="3BCB29A6" w14:textId="77777777" w:rsidR="00917E39" w:rsidRDefault="00917E39" w:rsidP="00917E39"/>
    <w:tbl>
      <w:tblPr>
        <w:tblStyle w:val="TableGrid"/>
        <w:tblW w:w="0" w:type="auto"/>
        <w:tblLook w:val="04A0" w:firstRow="1" w:lastRow="0" w:firstColumn="1" w:lastColumn="0" w:noHBand="0" w:noVBand="1"/>
      </w:tblPr>
      <w:tblGrid>
        <w:gridCol w:w="715"/>
        <w:gridCol w:w="1260"/>
        <w:gridCol w:w="1260"/>
        <w:gridCol w:w="4680"/>
        <w:gridCol w:w="4410"/>
        <w:gridCol w:w="2065"/>
      </w:tblGrid>
      <w:tr w:rsidR="00917E39" w:rsidRPr="002934FE" w14:paraId="0A7E73CE" w14:textId="77777777" w:rsidTr="64BAFC01">
        <w:tc>
          <w:tcPr>
            <w:tcW w:w="715" w:type="dxa"/>
            <w:shd w:val="clear" w:color="auto" w:fill="F2F2F2" w:themeFill="background1" w:themeFillShade="F2"/>
          </w:tcPr>
          <w:p w14:paraId="40A34B3B" w14:textId="13870581" w:rsidR="00917E39" w:rsidRPr="002934FE" w:rsidRDefault="00917E39" w:rsidP="00917E39">
            <w:pPr>
              <w:jc w:val="center"/>
              <w:rPr>
                <w:sz w:val="20"/>
                <w:szCs w:val="20"/>
              </w:rPr>
            </w:pPr>
            <w:r w:rsidRPr="002934FE">
              <w:rPr>
                <w:sz w:val="20"/>
                <w:szCs w:val="20"/>
              </w:rPr>
              <w:t>Item #</w:t>
            </w:r>
          </w:p>
        </w:tc>
        <w:tc>
          <w:tcPr>
            <w:tcW w:w="1260" w:type="dxa"/>
            <w:shd w:val="clear" w:color="auto" w:fill="F2F2F2" w:themeFill="background1" w:themeFillShade="F2"/>
          </w:tcPr>
          <w:p w14:paraId="5389EF99" w14:textId="5464CDB5" w:rsidR="00917E39" w:rsidRPr="002934FE" w:rsidRDefault="00917E39" w:rsidP="00917E39">
            <w:pPr>
              <w:jc w:val="center"/>
              <w:rPr>
                <w:sz w:val="20"/>
                <w:szCs w:val="20"/>
              </w:rPr>
            </w:pPr>
            <w:r w:rsidRPr="002934FE">
              <w:rPr>
                <w:sz w:val="20"/>
                <w:szCs w:val="20"/>
              </w:rPr>
              <w:t>Date Received</w:t>
            </w:r>
          </w:p>
        </w:tc>
        <w:tc>
          <w:tcPr>
            <w:tcW w:w="1260" w:type="dxa"/>
            <w:shd w:val="clear" w:color="auto" w:fill="F2F2F2" w:themeFill="background1" w:themeFillShade="F2"/>
          </w:tcPr>
          <w:p w14:paraId="6DB9A043" w14:textId="33D6D010" w:rsidR="00917E39" w:rsidRPr="002934FE" w:rsidRDefault="00917E39" w:rsidP="00917E39">
            <w:pPr>
              <w:jc w:val="center"/>
              <w:rPr>
                <w:sz w:val="20"/>
                <w:szCs w:val="20"/>
              </w:rPr>
            </w:pPr>
            <w:r w:rsidRPr="002934FE">
              <w:rPr>
                <w:sz w:val="20"/>
                <w:szCs w:val="20"/>
              </w:rPr>
              <w:t>Date Answered</w:t>
            </w:r>
          </w:p>
        </w:tc>
        <w:tc>
          <w:tcPr>
            <w:tcW w:w="4680" w:type="dxa"/>
            <w:shd w:val="clear" w:color="auto" w:fill="F2F2F2" w:themeFill="background1" w:themeFillShade="F2"/>
          </w:tcPr>
          <w:p w14:paraId="054628D3" w14:textId="6AADFBCC" w:rsidR="00917E39" w:rsidRPr="002934FE" w:rsidRDefault="00917E39" w:rsidP="00917E39">
            <w:pPr>
              <w:jc w:val="center"/>
              <w:rPr>
                <w:sz w:val="20"/>
                <w:szCs w:val="20"/>
              </w:rPr>
            </w:pPr>
            <w:r w:rsidRPr="002934FE">
              <w:rPr>
                <w:sz w:val="20"/>
                <w:szCs w:val="20"/>
              </w:rPr>
              <w:t>Vendor’s Question</w:t>
            </w:r>
          </w:p>
        </w:tc>
        <w:tc>
          <w:tcPr>
            <w:tcW w:w="4410" w:type="dxa"/>
            <w:shd w:val="clear" w:color="auto" w:fill="F2F2F2" w:themeFill="background1" w:themeFillShade="F2"/>
          </w:tcPr>
          <w:p w14:paraId="6F98CB24" w14:textId="787E3886" w:rsidR="00917E39" w:rsidRPr="002934FE" w:rsidRDefault="00917E39" w:rsidP="00917E39">
            <w:pPr>
              <w:jc w:val="center"/>
              <w:rPr>
                <w:sz w:val="20"/>
                <w:szCs w:val="20"/>
              </w:rPr>
            </w:pPr>
            <w:r w:rsidRPr="002934FE">
              <w:rPr>
                <w:sz w:val="20"/>
                <w:szCs w:val="20"/>
              </w:rPr>
              <w:t>City’s Answer</w:t>
            </w:r>
          </w:p>
        </w:tc>
        <w:tc>
          <w:tcPr>
            <w:tcW w:w="2065" w:type="dxa"/>
            <w:shd w:val="clear" w:color="auto" w:fill="F2F2F2" w:themeFill="background1" w:themeFillShade="F2"/>
          </w:tcPr>
          <w:p w14:paraId="53B60F86" w14:textId="1BB8A131" w:rsidR="00917E39" w:rsidRPr="002934FE" w:rsidRDefault="00917E39" w:rsidP="00917E39">
            <w:pPr>
              <w:jc w:val="center"/>
              <w:rPr>
                <w:sz w:val="20"/>
                <w:szCs w:val="20"/>
              </w:rPr>
            </w:pPr>
            <w:r w:rsidRPr="002934FE">
              <w:rPr>
                <w:sz w:val="20"/>
                <w:szCs w:val="20"/>
              </w:rPr>
              <w:t>RFP Revisions</w:t>
            </w:r>
          </w:p>
        </w:tc>
      </w:tr>
      <w:tr w:rsidR="00917E39" w:rsidRPr="002934FE" w14:paraId="50D709A1" w14:textId="77777777" w:rsidTr="64BAFC01">
        <w:tc>
          <w:tcPr>
            <w:tcW w:w="715" w:type="dxa"/>
          </w:tcPr>
          <w:p w14:paraId="57241FB2" w14:textId="77777777" w:rsidR="002A7E4B" w:rsidRPr="002934FE" w:rsidRDefault="002A7E4B" w:rsidP="00917E39">
            <w:pPr>
              <w:jc w:val="center"/>
              <w:rPr>
                <w:sz w:val="20"/>
                <w:szCs w:val="20"/>
              </w:rPr>
            </w:pPr>
          </w:p>
          <w:p w14:paraId="302D5D6F" w14:textId="736725DA" w:rsidR="00917E39" w:rsidRPr="002934FE" w:rsidRDefault="00917E39" w:rsidP="00917E39">
            <w:pPr>
              <w:jc w:val="center"/>
              <w:rPr>
                <w:sz w:val="20"/>
                <w:szCs w:val="20"/>
              </w:rPr>
            </w:pPr>
            <w:r w:rsidRPr="002934FE">
              <w:rPr>
                <w:sz w:val="20"/>
                <w:szCs w:val="20"/>
              </w:rPr>
              <w:t>1</w:t>
            </w:r>
          </w:p>
        </w:tc>
        <w:tc>
          <w:tcPr>
            <w:tcW w:w="1260" w:type="dxa"/>
          </w:tcPr>
          <w:p w14:paraId="0C5D3A06" w14:textId="77777777" w:rsidR="002A7E4B" w:rsidRPr="002934FE" w:rsidRDefault="002A7E4B" w:rsidP="00917E39">
            <w:pPr>
              <w:rPr>
                <w:sz w:val="20"/>
                <w:szCs w:val="20"/>
              </w:rPr>
            </w:pPr>
          </w:p>
          <w:p w14:paraId="57663C9F" w14:textId="1FE0C11D" w:rsidR="00917E39" w:rsidRPr="002934FE" w:rsidRDefault="002A7E4B" w:rsidP="00917E39">
            <w:pPr>
              <w:rPr>
                <w:sz w:val="20"/>
                <w:szCs w:val="20"/>
              </w:rPr>
            </w:pPr>
            <w:r w:rsidRPr="002934FE">
              <w:rPr>
                <w:sz w:val="20"/>
                <w:szCs w:val="20"/>
              </w:rPr>
              <w:t>8/6/2024</w:t>
            </w:r>
          </w:p>
        </w:tc>
        <w:tc>
          <w:tcPr>
            <w:tcW w:w="1260" w:type="dxa"/>
          </w:tcPr>
          <w:p w14:paraId="42EDDC69" w14:textId="77777777" w:rsidR="002A7E4B" w:rsidRPr="002934FE" w:rsidRDefault="002A7E4B" w:rsidP="00917E39">
            <w:pPr>
              <w:rPr>
                <w:sz w:val="20"/>
                <w:szCs w:val="20"/>
              </w:rPr>
            </w:pPr>
          </w:p>
          <w:p w14:paraId="08307CAD" w14:textId="6F87AC67" w:rsidR="00917E39" w:rsidRPr="002934FE" w:rsidRDefault="002A7E4B" w:rsidP="00917E39">
            <w:pPr>
              <w:rPr>
                <w:sz w:val="20"/>
                <w:szCs w:val="20"/>
              </w:rPr>
            </w:pPr>
            <w:r w:rsidRPr="002934FE">
              <w:rPr>
                <w:sz w:val="20"/>
                <w:szCs w:val="20"/>
              </w:rPr>
              <w:t>8/20/2024</w:t>
            </w:r>
          </w:p>
        </w:tc>
        <w:tc>
          <w:tcPr>
            <w:tcW w:w="4680" w:type="dxa"/>
          </w:tcPr>
          <w:p w14:paraId="4FBAC67B" w14:textId="77777777" w:rsidR="00BA3F0D" w:rsidRDefault="00BA3F0D" w:rsidP="00917E39">
            <w:pPr>
              <w:rPr>
                <w:sz w:val="20"/>
                <w:szCs w:val="20"/>
              </w:rPr>
            </w:pPr>
          </w:p>
          <w:p w14:paraId="4B5D4210" w14:textId="77777777" w:rsidR="004017E5" w:rsidRPr="004017E5" w:rsidRDefault="004017E5" w:rsidP="004017E5">
            <w:pPr>
              <w:rPr>
                <w:sz w:val="20"/>
                <w:szCs w:val="20"/>
              </w:rPr>
            </w:pPr>
            <w:r w:rsidRPr="004017E5">
              <w:rPr>
                <w:sz w:val="20"/>
                <w:szCs w:val="20"/>
              </w:rPr>
              <w:t xml:space="preserve">Please clarify when the RFP is due.  Is August 21, </w:t>
            </w:r>
            <w:proofErr w:type="gramStart"/>
            <w:r w:rsidRPr="004017E5">
              <w:rPr>
                <w:sz w:val="20"/>
                <w:szCs w:val="20"/>
              </w:rPr>
              <w:t>2024</w:t>
            </w:r>
            <w:proofErr w:type="gramEnd"/>
            <w:r w:rsidRPr="004017E5">
              <w:rPr>
                <w:sz w:val="20"/>
                <w:szCs w:val="20"/>
              </w:rPr>
              <w:t xml:space="preserve"> correct?</w:t>
            </w:r>
          </w:p>
          <w:p w14:paraId="53BC306F" w14:textId="77777777" w:rsidR="004017E5" w:rsidRPr="00567443" w:rsidRDefault="004017E5" w:rsidP="004017E5">
            <w:pPr>
              <w:pStyle w:val="ListParagraph"/>
              <w:ind w:left="360"/>
              <w:rPr>
                <w:sz w:val="20"/>
                <w:szCs w:val="20"/>
              </w:rPr>
            </w:pPr>
          </w:p>
          <w:p w14:paraId="759AFD3E" w14:textId="77777777" w:rsidR="004017E5" w:rsidRPr="004017E5" w:rsidRDefault="004017E5" w:rsidP="004017E5">
            <w:pPr>
              <w:rPr>
                <w:sz w:val="20"/>
                <w:szCs w:val="20"/>
              </w:rPr>
            </w:pPr>
            <w:r w:rsidRPr="004017E5">
              <w:rPr>
                <w:sz w:val="20"/>
                <w:szCs w:val="20"/>
              </w:rPr>
              <w:t>The original submission due date was listed as August 21</w:t>
            </w:r>
            <w:r w:rsidRPr="004017E5">
              <w:rPr>
                <w:sz w:val="20"/>
                <w:szCs w:val="20"/>
                <w:vertAlign w:val="superscript"/>
              </w:rPr>
              <w:t>st,</w:t>
            </w:r>
            <w:r w:rsidRPr="004017E5">
              <w:rPr>
                <w:sz w:val="20"/>
                <w:szCs w:val="20"/>
              </w:rPr>
              <w:t xml:space="preserve"> but SCERS has updated the RFP due date to August 30, </w:t>
            </w:r>
            <w:proofErr w:type="gramStart"/>
            <w:r w:rsidRPr="004017E5">
              <w:rPr>
                <w:sz w:val="20"/>
                <w:szCs w:val="20"/>
              </w:rPr>
              <w:t>2024</w:t>
            </w:r>
            <w:proofErr w:type="gramEnd"/>
            <w:r w:rsidRPr="004017E5">
              <w:rPr>
                <w:sz w:val="20"/>
                <w:szCs w:val="20"/>
              </w:rPr>
              <w:t xml:space="preserve"> at 3:00 p.m.  All response and materials must be received by SCERS by this day and time.  </w:t>
            </w:r>
          </w:p>
          <w:p w14:paraId="472BB551" w14:textId="77777777" w:rsidR="004017E5" w:rsidRPr="002934FE" w:rsidRDefault="004017E5" w:rsidP="00917E39">
            <w:pPr>
              <w:rPr>
                <w:sz w:val="20"/>
                <w:szCs w:val="20"/>
              </w:rPr>
            </w:pPr>
          </w:p>
        </w:tc>
        <w:tc>
          <w:tcPr>
            <w:tcW w:w="4410" w:type="dxa"/>
          </w:tcPr>
          <w:p w14:paraId="76E753CB" w14:textId="77777777" w:rsidR="00BA3F0D" w:rsidRDefault="00BA3F0D" w:rsidP="64BAFC01">
            <w:pPr>
              <w:rPr>
                <w:sz w:val="20"/>
                <w:szCs w:val="20"/>
              </w:rPr>
            </w:pPr>
          </w:p>
          <w:p w14:paraId="23869BF1" w14:textId="2D44BAB8" w:rsidR="004017E5" w:rsidRPr="004017E5" w:rsidRDefault="004017E5" w:rsidP="004017E5">
            <w:pPr>
              <w:rPr>
                <w:sz w:val="20"/>
                <w:szCs w:val="20"/>
              </w:rPr>
            </w:pPr>
            <w:r w:rsidRPr="004017E5">
              <w:rPr>
                <w:sz w:val="20"/>
                <w:szCs w:val="20"/>
              </w:rPr>
              <w:t>The original submission due date was listed as August 21</w:t>
            </w:r>
            <w:r w:rsidRPr="004017E5">
              <w:rPr>
                <w:sz w:val="20"/>
                <w:szCs w:val="20"/>
                <w:vertAlign w:val="superscript"/>
              </w:rPr>
              <w:t>st,</w:t>
            </w:r>
            <w:r w:rsidRPr="004017E5">
              <w:rPr>
                <w:sz w:val="20"/>
                <w:szCs w:val="20"/>
              </w:rPr>
              <w:t xml:space="preserve"> but SCERS has updated the RFP due date to August 30, </w:t>
            </w:r>
            <w:proofErr w:type="gramStart"/>
            <w:r w:rsidRPr="004017E5">
              <w:rPr>
                <w:sz w:val="20"/>
                <w:szCs w:val="20"/>
              </w:rPr>
              <w:t>2024</w:t>
            </w:r>
            <w:proofErr w:type="gramEnd"/>
            <w:r w:rsidRPr="004017E5">
              <w:rPr>
                <w:sz w:val="20"/>
                <w:szCs w:val="20"/>
              </w:rPr>
              <w:t xml:space="preserve"> at 3:00 p.m</w:t>
            </w:r>
            <w:r w:rsidR="00F074E7">
              <w:rPr>
                <w:sz w:val="20"/>
                <w:szCs w:val="20"/>
              </w:rPr>
              <w:t>. PST</w:t>
            </w:r>
            <w:r w:rsidRPr="004017E5">
              <w:rPr>
                <w:sz w:val="20"/>
                <w:szCs w:val="20"/>
              </w:rPr>
              <w:t xml:space="preserve">.  All response and materials must be received by SCERS by this day and time.  </w:t>
            </w:r>
          </w:p>
          <w:p w14:paraId="72D7AE4D" w14:textId="1465D9DE" w:rsidR="004017E5" w:rsidRPr="002934FE" w:rsidRDefault="004017E5" w:rsidP="64BAFC01">
            <w:pPr>
              <w:rPr>
                <w:sz w:val="20"/>
                <w:szCs w:val="20"/>
              </w:rPr>
            </w:pPr>
          </w:p>
        </w:tc>
        <w:tc>
          <w:tcPr>
            <w:tcW w:w="2065" w:type="dxa"/>
          </w:tcPr>
          <w:p w14:paraId="438259B7" w14:textId="77777777" w:rsidR="00917E39" w:rsidRDefault="00917E39" w:rsidP="00917E39">
            <w:pPr>
              <w:rPr>
                <w:sz w:val="20"/>
                <w:szCs w:val="20"/>
              </w:rPr>
            </w:pPr>
          </w:p>
          <w:p w14:paraId="662000E6" w14:textId="77777777" w:rsidR="006F5BB3" w:rsidRDefault="006F5BB3" w:rsidP="006F5BB3">
            <w:pPr>
              <w:rPr>
                <w:sz w:val="20"/>
                <w:szCs w:val="20"/>
              </w:rPr>
            </w:pPr>
            <w:r>
              <w:rPr>
                <w:sz w:val="20"/>
                <w:szCs w:val="20"/>
              </w:rPr>
              <w:t>Procurement Schedule, p. 1</w:t>
            </w:r>
          </w:p>
          <w:p w14:paraId="5746C3EC" w14:textId="33F42A2F" w:rsidR="006F5BB3" w:rsidRPr="002934FE" w:rsidRDefault="006F5BB3" w:rsidP="006F5BB3">
            <w:pPr>
              <w:rPr>
                <w:sz w:val="20"/>
                <w:szCs w:val="20"/>
              </w:rPr>
            </w:pPr>
            <w:r>
              <w:rPr>
                <w:sz w:val="20"/>
                <w:szCs w:val="20"/>
              </w:rPr>
              <w:t xml:space="preserve">Clarify Response Deadline to be </w:t>
            </w:r>
            <w:r w:rsidRPr="006F5BB3">
              <w:rPr>
                <w:b/>
                <w:bCs/>
                <w:sz w:val="20"/>
                <w:szCs w:val="20"/>
              </w:rPr>
              <w:t xml:space="preserve">August 30, </w:t>
            </w:r>
            <w:proofErr w:type="gramStart"/>
            <w:r w:rsidRPr="006F5BB3">
              <w:rPr>
                <w:b/>
                <w:bCs/>
                <w:sz w:val="20"/>
                <w:szCs w:val="20"/>
              </w:rPr>
              <w:t>2024</w:t>
            </w:r>
            <w:proofErr w:type="gramEnd"/>
            <w:r>
              <w:rPr>
                <w:sz w:val="20"/>
                <w:szCs w:val="20"/>
              </w:rPr>
              <w:t xml:space="preserve"> </w:t>
            </w:r>
            <w:r w:rsidRPr="006F5BB3">
              <w:rPr>
                <w:sz w:val="20"/>
                <w:szCs w:val="20"/>
              </w:rPr>
              <w:t>at 3:00 p.m. (PST)</w:t>
            </w:r>
          </w:p>
        </w:tc>
      </w:tr>
      <w:tr w:rsidR="00917E39" w:rsidRPr="002934FE" w14:paraId="41CF916E" w14:textId="77777777" w:rsidTr="64BAFC01">
        <w:tc>
          <w:tcPr>
            <w:tcW w:w="715" w:type="dxa"/>
          </w:tcPr>
          <w:p w14:paraId="7E61F7E8" w14:textId="77777777" w:rsidR="002A7E4B" w:rsidRPr="002934FE" w:rsidRDefault="002A7E4B" w:rsidP="00917E39">
            <w:pPr>
              <w:jc w:val="center"/>
              <w:rPr>
                <w:sz w:val="20"/>
                <w:szCs w:val="20"/>
              </w:rPr>
            </w:pPr>
            <w:bookmarkStart w:id="0" w:name="_Hlk175133955"/>
          </w:p>
          <w:p w14:paraId="6499379C" w14:textId="3A2D7EB0" w:rsidR="00917E39" w:rsidRPr="002934FE" w:rsidRDefault="00917E39" w:rsidP="00917E39">
            <w:pPr>
              <w:jc w:val="center"/>
              <w:rPr>
                <w:sz w:val="20"/>
                <w:szCs w:val="20"/>
              </w:rPr>
            </w:pPr>
            <w:r w:rsidRPr="002934FE">
              <w:rPr>
                <w:sz w:val="20"/>
                <w:szCs w:val="20"/>
              </w:rPr>
              <w:t>2</w:t>
            </w:r>
          </w:p>
        </w:tc>
        <w:tc>
          <w:tcPr>
            <w:tcW w:w="1260" w:type="dxa"/>
          </w:tcPr>
          <w:p w14:paraId="6833DCAC" w14:textId="77777777" w:rsidR="002A7E4B" w:rsidRPr="002934FE" w:rsidRDefault="002A7E4B" w:rsidP="00917E39">
            <w:pPr>
              <w:rPr>
                <w:sz w:val="20"/>
                <w:szCs w:val="20"/>
              </w:rPr>
            </w:pPr>
          </w:p>
          <w:p w14:paraId="64F73882" w14:textId="0F70748C" w:rsidR="00917E39" w:rsidRPr="002934FE" w:rsidRDefault="002A7E4B" w:rsidP="00917E39">
            <w:pPr>
              <w:rPr>
                <w:sz w:val="20"/>
                <w:szCs w:val="20"/>
              </w:rPr>
            </w:pPr>
            <w:r w:rsidRPr="002934FE">
              <w:rPr>
                <w:sz w:val="20"/>
                <w:szCs w:val="20"/>
              </w:rPr>
              <w:t>8/6/2024</w:t>
            </w:r>
          </w:p>
        </w:tc>
        <w:tc>
          <w:tcPr>
            <w:tcW w:w="1260" w:type="dxa"/>
          </w:tcPr>
          <w:p w14:paraId="76ED454E" w14:textId="77777777" w:rsidR="002A7E4B" w:rsidRPr="002934FE" w:rsidRDefault="002A7E4B" w:rsidP="00917E39">
            <w:pPr>
              <w:rPr>
                <w:sz w:val="20"/>
                <w:szCs w:val="20"/>
              </w:rPr>
            </w:pPr>
          </w:p>
          <w:p w14:paraId="0CCB20C3" w14:textId="28A5AD12" w:rsidR="00917E39" w:rsidRPr="002934FE" w:rsidRDefault="002A7E4B" w:rsidP="00917E39">
            <w:pPr>
              <w:rPr>
                <w:sz w:val="20"/>
                <w:szCs w:val="20"/>
              </w:rPr>
            </w:pPr>
            <w:r w:rsidRPr="002934FE">
              <w:rPr>
                <w:sz w:val="20"/>
                <w:szCs w:val="20"/>
              </w:rPr>
              <w:t>8/20/2024</w:t>
            </w:r>
          </w:p>
          <w:p w14:paraId="7B3FAF16" w14:textId="508BD393" w:rsidR="002A7E4B" w:rsidRPr="002934FE" w:rsidRDefault="002A7E4B" w:rsidP="00917E39">
            <w:pPr>
              <w:rPr>
                <w:sz w:val="20"/>
                <w:szCs w:val="20"/>
              </w:rPr>
            </w:pPr>
          </w:p>
        </w:tc>
        <w:tc>
          <w:tcPr>
            <w:tcW w:w="4680" w:type="dxa"/>
          </w:tcPr>
          <w:p w14:paraId="73ADC8D5" w14:textId="77777777" w:rsidR="00BA3F0D" w:rsidRDefault="00BA3F0D" w:rsidP="00917E39">
            <w:pPr>
              <w:rPr>
                <w:sz w:val="20"/>
                <w:szCs w:val="20"/>
              </w:rPr>
            </w:pPr>
          </w:p>
          <w:p w14:paraId="7D28B02E" w14:textId="77777777" w:rsidR="00F074E7" w:rsidRPr="00F074E7" w:rsidRDefault="00F074E7" w:rsidP="00F074E7">
            <w:pPr>
              <w:rPr>
                <w:sz w:val="20"/>
                <w:szCs w:val="20"/>
              </w:rPr>
            </w:pPr>
            <w:r w:rsidRPr="00F074E7">
              <w:rPr>
                <w:sz w:val="20"/>
                <w:szCs w:val="20"/>
              </w:rPr>
              <w:t xml:space="preserve">Please clarify the what the following statement from the scope of work section entails, </w:t>
            </w:r>
            <w:r w:rsidRPr="00F074E7">
              <w:rPr>
                <w:i/>
                <w:iCs/>
                <w:sz w:val="20"/>
                <w:szCs w:val="20"/>
              </w:rPr>
              <w:t>"provide SCERS a copy of updated capital market assumptions."</w:t>
            </w:r>
            <w:r w:rsidRPr="00F074E7">
              <w:rPr>
                <w:sz w:val="20"/>
                <w:szCs w:val="20"/>
              </w:rPr>
              <w:t xml:space="preserve">  Normally the investment consultants provide this information.</w:t>
            </w:r>
          </w:p>
          <w:p w14:paraId="552CD35B" w14:textId="24EAF50D" w:rsidR="00F074E7" w:rsidRPr="002934FE" w:rsidRDefault="00F074E7" w:rsidP="00917E39">
            <w:pPr>
              <w:rPr>
                <w:sz w:val="20"/>
                <w:szCs w:val="20"/>
              </w:rPr>
            </w:pPr>
          </w:p>
        </w:tc>
        <w:tc>
          <w:tcPr>
            <w:tcW w:w="4410" w:type="dxa"/>
          </w:tcPr>
          <w:p w14:paraId="2E0BAFAC" w14:textId="77777777" w:rsidR="00BA3F0D" w:rsidRDefault="00BA3F0D" w:rsidP="00917E39">
            <w:pPr>
              <w:rPr>
                <w:sz w:val="20"/>
                <w:szCs w:val="20"/>
              </w:rPr>
            </w:pPr>
          </w:p>
          <w:p w14:paraId="115F18BA" w14:textId="77777777" w:rsidR="00F074E7" w:rsidRPr="00F074E7" w:rsidRDefault="00F074E7" w:rsidP="00F074E7">
            <w:pPr>
              <w:rPr>
                <w:sz w:val="20"/>
                <w:szCs w:val="20"/>
              </w:rPr>
            </w:pPr>
            <w:r w:rsidRPr="00F074E7">
              <w:rPr>
                <w:sz w:val="20"/>
                <w:szCs w:val="20"/>
              </w:rPr>
              <w:t>Some actuarial firms have internal teams that report this information.  If your firm does, please provide a copy of the updated capital market assumptions.  If not, please just indicate this as “Not applicable.”</w:t>
            </w:r>
          </w:p>
          <w:p w14:paraId="33B52758" w14:textId="7C6B2543" w:rsidR="00F074E7" w:rsidRPr="002934FE" w:rsidRDefault="00F074E7" w:rsidP="00917E39">
            <w:pPr>
              <w:rPr>
                <w:sz w:val="20"/>
                <w:szCs w:val="20"/>
              </w:rPr>
            </w:pPr>
          </w:p>
        </w:tc>
        <w:tc>
          <w:tcPr>
            <w:tcW w:w="2065" w:type="dxa"/>
          </w:tcPr>
          <w:p w14:paraId="47B33A47" w14:textId="77777777" w:rsidR="00917E39" w:rsidRPr="002934FE" w:rsidRDefault="00917E39" w:rsidP="00917E39">
            <w:pPr>
              <w:rPr>
                <w:sz w:val="20"/>
                <w:szCs w:val="20"/>
              </w:rPr>
            </w:pPr>
          </w:p>
        </w:tc>
      </w:tr>
      <w:bookmarkEnd w:id="0"/>
      <w:tr w:rsidR="002A7E4B" w:rsidRPr="002934FE" w14:paraId="19C7E998" w14:textId="77777777" w:rsidTr="64BAFC01">
        <w:tc>
          <w:tcPr>
            <w:tcW w:w="715" w:type="dxa"/>
          </w:tcPr>
          <w:p w14:paraId="43F452AC" w14:textId="77777777" w:rsidR="00BA3F0D" w:rsidRPr="002934FE" w:rsidRDefault="00BA3F0D" w:rsidP="002A7E4B">
            <w:pPr>
              <w:jc w:val="center"/>
              <w:rPr>
                <w:sz w:val="20"/>
                <w:szCs w:val="20"/>
              </w:rPr>
            </w:pPr>
          </w:p>
          <w:p w14:paraId="530B086B" w14:textId="17B2DDD1" w:rsidR="002A7E4B" w:rsidRPr="002934FE" w:rsidRDefault="002A7E4B" w:rsidP="002A7E4B">
            <w:pPr>
              <w:jc w:val="center"/>
              <w:rPr>
                <w:sz w:val="20"/>
                <w:szCs w:val="20"/>
              </w:rPr>
            </w:pPr>
            <w:r w:rsidRPr="002934FE">
              <w:rPr>
                <w:sz w:val="20"/>
                <w:szCs w:val="20"/>
              </w:rPr>
              <w:t>3</w:t>
            </w:r>
          </w:p>
        </w:tc>
        <w:tc>
          <w:tcPr>
            <w:tcW w:w="1260" w:type="dxa"/>
          </w:tcPr>
          <w:p w14:paraId="1E0EBA84" w14:textId="77777777" w:rsidR="00BA3F0D" w:rsidRPr="002934FE" w:rsidRDefault="00BA3F0D" w:rsidP="002A7E4B">
            <w:pPr>
              <w:rPr>
                <w:sz w:val="20"/>
                <w:szCs w:val="20"/>
              </w:rPr>
            </w:pPr>
          </w:p>
          <w:p w14:paraId="694EDA71" w14:textId="0F146FB9" w:rsidR="002A7E4B" w:rsidRPr="002934FE" w:rsidRDefault="002A7E4B" w:rsidP="002A7E4B">
            <w:pPr>
              <w:rPr>
                <w:sz w:val="20"/>
                <w:szCs w:val="20"/>
              </w:rPr>
            </w:pPr>
            <w:r w:rsidRPr="002934FE">
              <w:rPr>
                <w:sz w:val="20"/>
                <w:szCs w:val="20"/>
              </w:rPr>
              <w:t>8/6/2024</w:t>
            </w:r>
          </w:p>
        </w:tc>
        <w:tc>
          <w:tcPr>
            <w:tcW w:w="1260" w:type="dxa"/>
          </w:tcPr>
          <w:p w14:paraId="0883B5D3" w14:textId="77777777" w:rsidR="00BA3F0D" w:rsidRPr="002934FE" w:rsidRDefault="00BA3F0D" w:rsidP="002A7E4B">
            <w:pPr>
              <w:rPr>
                <w:sz w:val="20"/>
                <w:szCs w:val="20"/>
              </w:rPr>
            </w:pPr>
          </w:p>
          <w:p w14:paraId="5CC39FD6" w14:textId="3616172C" w:rsidR="002A7E4B" w:rsidRPr="002934FE" w:rsidRDefault="002A7E4B" w:rsidP="002A7E4B">
            <w:pPr>
              <w:rPr>
                <w:sz w:val="20"/>
                <w:szCs w:val="20"/>
              </w:rPr>
            </w:pPr>
            <w:r w:rsidRPr="002934FE">
              <w:rPr>
                <w:sz w:val="20"/>
                <w:szCs w:val="20"/>
              </w:rPr>
              <w:t>8/20/2024</w:t>
            </w:r>
          </w:p>
          <w:p w14:paraId="111F1EA2" w14:textId="5DFD4C7C" w:rsidR="002A7E4B" w:rsidRPr="002934FE" w:rsidRDefault="002A7E4B" w:rsidP="002A7E4B">
            <w:pPr>
              <w:rPr>
                <w:sz w:val="20"/>
                <w:szCs w:val="20"/>
              </w:rPr>
            </w:pPr>
          </w:p>
        </w:tc>
        <w:tc>
          <w:tcPr>
            <w:tcW w:w="4680" w:type="dxa"/>
          </w:tcPr>
          <w:p w14:paraId="5DBF1109" w14:textId="77777777" w:rsidR="00BA3F0D" w:rsidRDefault="00BA3F0D" w:rsidP="002A7E4B">
            <w:pPr>
              <w:rPr>
                <w:sz w:val="20"/>
                <w:szCs w:val="20"/>
              </w:rPr>
            </w:pPr>
          </w:p>
          <w:p w14:paraId="05FD7278" w14:textId="77777777" w:rsidR="00F074E7" w:rsidRPr="00F074E7" w:rsidRDefault="00F074E7" w:rsidP="00F074E7">
            <w:pPr>
              <w:rPr>
                <w:sz w:val="20"/>
                <w:szCs w:val="20"/>
              </w:rPr>
            </w:pPr>
            <w:r w:rsidRPr="00F074E7">
              <w:rPr>
                <w:sz w:val="20"/>
                <w:szCs w:val="20"/>
              </w:rPr>
              <w:t>Please clarify the reference requirement. In the questionnaire, it states to list contract references from the last five years. Would providing the contact’s name, phone number, and email suffice?</w:t>
            </w:r>
          </w:p>
          <w:p w14:paraId="71E6F0CF" w14:textId="11BCE462" w:rsidR="00F074E7" w:rsidRPr="002934FE" w:rsidRDefault="00F074E7" w:rsidP="002A7E4B">
            <w:pPr>
              <w:rPr>
                <w:sz w:val="20"/>
                <w:szCs w:val="20"/>
              </w:rPr>
            </w:pPr>
          </w:p>
        </w:tc>
        <w:tc>
          <w:tcPr>
            <w:tcW w:w="4410" w:type="dxa"/>
          </w:tcPr>
          <w:p w14:paraId="291010E6" w14:textId="77777777" w:rsidR="00BA3F0D" w:rsidRDefault="00BA3F0D" w:rsidP="002A7E4B">
            <w:pPr>
              <w:rPr>
                <w:sz w:val="20"/>
                <w:szCs w:val="20"/>
              </w:rPr>
            </w:pPr>
          </w:p>
          <w:p w14:paraId="686511BB" w14:textId="77777777" w:rsidR="00F074E7" w:rsidRPr="00F074E7" w:rsidRDefault="00F074E7" w:rsidP="00F074E7">
            <w:pPr>
              <w:rPr>
                <w:sz w:val="20"/>
                <w:szCs w:val="20"/>
              </w:rPr>
            </w:pPr>
            <w:r w:rsidRPr="00F074E7">
              <w:rPr>
                <w:sz w:val="20"/>
                <w:szCs w:val="20"/>
              </w:rPr>
              <w:t>Providing the contact’s name, phone number, and email is acceptable.</w:t>
            </w:r>
          </w:p>
          <w:p w14:paraId="43B12BBC" w14:textId="06B01E05" w:rsidR="00F074E7" w:rsidRPr="002934FE" w:rsidRDefault="00F074E7" w:rsidP="002A7E4B">
            <w:pPr>
              <w:rPr>
                <w:sz w:val="20"/>
                <w:szCs w:val="20"/>
              </w:rPr>
            </w:pPr>
          </w:p>
        </w:tc>
        <w:tc>
          <w:tcPr>
            <w:tcW w:w="2065" w:type="dxa"/>
          </w:tcPr>
          <w:p w14:paraId="7EE7B2EB" w14:textId="77777777" w:rsidR="002A7E4B" w:rsidRPr="002934FE" w:rsidRDefault="002A7E4B" w:rsidP="002A7E4B">
            <w:pPr>
              <w:rPr>
                <w:sz w:val="20"/>
                <w:szCs w:val="20"/>
              </w:rPr>
            </w:pPr>
          </w:p>
        </w:tc>
      </w:tr>
      <w:tr w:rsidR="002A7E4B" w:rsidRPr="002934FE" w14:paraId="6AEB72F2" w14:textId="77777777" w:rsidTr="64BAFC01">
        <w:tc>
          <w:tcPr>
            <w:tcW w:w="715" w:type="dxa"/>
          </w:tcPr>
          <w:p w14:paraId="60AE9C6B" w14:textId="77777777" w:rsidR="00BA3F0D" w:rsidRPr="002934FE" w:rsidRDefault="00BA3F0D" w:rsidP="002A7E4B">
            <w:pPr>
              <w:jc w:val="center"/>
              <w:rPr>
                <w:sz w:val="20"/>
                <w:szCs w:val="20"/>
              </w:rPr>
            </w:pPr>
          </w:p>
          <w:p w14:paraId="4D5570AD" w14:textId="25559E82" w:rsidR="002A7E4B" w:rsidRPr="002934FE" w:rsidRDefault="002A7E4B" w:rsidP="002A7E4B">
            <w:pPr>
              <w:jc w:val="center"/>
              <w:rPr>
                <w:sz w:val="20"/>
                <w:szCs w:val="20"/>
              </w:rPr>
            </w:pPr>
            <w:r w:rsidRPr="002934FE">
              <w:rPr>
                <w:sz w:val="20"/>
                <w:szCs w:val="20"/>
              </w:rPr>
              <w:t>4</w:t>
            </w:r>
          </w:p>
        </w:tc>
        <w:tc>
          <w:tcPr>
            <w:tcW w:w="1260" w:type="dxa"/>
          </w:tcPr>
          <w:p w14:paraId="7750CCF0" w14:textId="77777777" w:rsidR="00BA3F0D" w:rsidRPr="002934FE" w:rsidRDefault="00BA3F0D" w:rsidP="002A7E4B">
            <w:pPr>
              <w:rPr>
                <w:sz w:val="20"/>
                <w:szCs w:val="20"/>
              </w:rPr>
            </w:pPr>
          </w:p>
          <w:p w14:paraId="61D07915" w14:textId="25B3A1BE" w:rsidR="002A7E4B" w:rsidRPr="002934FE" w:rsidRDefault="002A7E4B" w:rsidP="002A7E4B">
            <w:pPr>
              <w:rPr>
                <w:sz w:val="20"/>
                <w:szCs w:val="20"/>
              </w:rPr>
            </w:pPr>
            <w:r w:rsidRPr="002934FE">
              <w:rPr>
                <w:sz w:val="20"/>
                <w:szCs w:val="20"/>
              </w:rPr>
              <w:t>8/6/2024</w:t>
            </w:r>
          </w:p>
        </w:tc>
        <w:tc>
          <w:tcPr>
            <w:tcW w:w="1260" w:type="dxa"/>
          </w:tcPr>
          <w:p w14:paraId="47E6C8BB" w14:textId="77777777" w:rsidR="00BA3F0D" w:rsidRPr="002934FE" w:rsidRDefault="00BA3F0D" w:rsidP="002A7E4B">
            <w:pPr>
              <w:rPr>
                <w:sz w:val="20"/>
                <w:szCs w:val="20"/>
              </w:rPr>
            </w:pPr>
          </w:p>
          <w:p w14:paraId="57FFBA07" w14:textId="71D307FF" w:rsidR="002A7E4B" w:rsidRPr="002934FE" w:rsidRDefault="002A7E4B" w:rsidP="002A7E4B">
            <w:pPr>
              <w:rPr>
                <w:sz w:val="20"/>
                <w:szCs w:val="20"/>
              </w:rPr>
            </w:pPr>
            <w:r w:rsidRPr="002934FE">
              <w:rPr>
                <w:sz w:val="20"/>
                <w:szCs w:val="20"/>
              </w:rPr>
              <w:t>8/20/2024</w:t>
            </w:r>
          </w:p>
          <w:p w14:paraId="15C20B79" w14:textId="54C1ED76" w:rsidR="002A7E4B" w:rsidRPr="002934FE" w:rsidRDefault="002A7E4B" w:rsidP="002A7E4B">
            <w:pPr>
              <w:rPr>
                <w:sz w:val="20"/>
                <w:szCs w:val="20"/>
              </w:rPr>
            </w:pPr>
          </w:p>
        </w:tc>
        <w:tc>
          <w:tcPr>
            <w:tcW w:w="4680" w:type="dxa"/>
          </w:tcPr>
          <w:p w14:paraId="546CC321" w14:textId="77777777" w:rsidR="00BA3F0D" w:rsidRDefault="00BA3F0D" w:rsidP="002A7E4B">
            <w:pPr>
              <w:rPr>
                <w:sz w:val="20"/>
                <w:szCs w:val="20"/>
              </w:rPr>
            </w:pPr>
          </w:p>
          <w:p w14:paraId="6B86BD46" w14:textId="77777777" w:rsidR="00F074E7" w:rsidRPr="00F074E7" w:rsidRDefault="00F074E7" w:rsidP="00F074E7">
            <w:pPr>
              <w:rPr>
                <w:sz w:val="20"/>
                <w:szCs w:val="20"/>
              </w:rPr>
            </w:pPr>
            <w:r w:rsidRPr="00F074E7">
              <w:rPr>
                <w:sz w:val="20"/>
                <w:szCs w:val="20"/>
              </w:rPr>
              <w:t>In the Proposal Response Form, please clarify the expectation under 2A. Do we need to have an office in King County? If we don't have one, how do SCERS would like us to provide?</w:t>
            </w:r>
          </w:p>
          <w:p w14:paraId="503EE990" w14:textId="69E0163C" w:rsidR="00F074E7" w:rsidRPr="002934FE" w:rsidRDefault="00F074E7" w:rsidP="002A7E4B">
            <w:pPr>
              <w:rPr>
                <w:sz w:val="20"/>
                <w:szCs w:val="20"/>
              </w:rPr>
            </w:pPr>
          </w:p>
        </w:tc>
        <w:tc>
          <w:tcPr>
            <w:tcW w:w="4410" w:type="dxa"/>
          </w:tcPr>
          <w:p w14:paraId="56A6FCD7" w14:textId="77777777" w:rsidR="00BA3F0D" w:rsidRDefault="00BA3F0D" w:rsidP="002A7E4B">
            <w:pPr>
              <w:rPr>
                <w:sz w:val="20"/>
                <w:szCs w:val="20"/>
              </w:rPr>
            </w:pPr>
          </w:p>
          <w:p w14:paraId="5F3EA98F" w14:textId="7EA21C76" w:rsidR="00F074E7" w:rsidRPr="00F074E7" w:rsidRDefault="00F074E7" w:rsidP="00F074E7">
            <w:pPr>
              <w:rPr>
                <w:sz w:val="20"/>
                <w:szCs w:val="20"/>
              </w:rPr>
            </w:pPr>
            <w:r w:rsidRPr="00F074E7">
              <w:rPr>
                <w:sz w:val="20"/>
                <w:szCs w:val="20"/>
              </w:rPr>
              <w:t>It is not a requirement to have an office in King County.  If you do not have an office located in King County, please note this in your response.</w:t>
            </w:r>
          </w:p>
          <w:p w14:paraId="18931387" w14:textId="0C02A138" w:rsidR="00F074E7" w:rsidRPr="002934FE" w:rsidRDefault="00F074E7" w:rsidP="002A7E4B">
            <w:pPr>
              <w:rPr>
                <w:sz w:val="20"/>
                <w:szCs w:val="20"/>
              </w:rPr>
            </w:pPr>
          </w:p>
        </w:tc>
        <w:tc>
          <w:tcPr>
            <w:tcW w:w="2065" w:type="dxa"/>
          </w:tcPr>
          <w:p w14:paraId="5D60F031" w14:textId="77777777" w:rsidR="002A7E4B" w:rsidRPr="002934FE" w:rsidRDefault="002A7E4B" w:rsidP="002A7E4B">
            <w:pPr>
              <w:rPr>
                <w:sz w:val="20"/>
                <w:szCs w:val="20"/>
              </w:rPr>
            </w:pPr>
          </w:p>
        </w:tc>
      </w:tr>
      <w:tr w:rsidR="002A7E4B" w:rsidRPr="002934FE" w14:paraId="345B6538" w14:textId="77777777" w:rsidTr="64BAFC01">
        <w:tc>
          <w:tcPr>
            <w:tcW w:w="715" w:type="dxa"/>
          </w:tcPr>
          <w:p w14:paraId="0416FFE0" w14:textId="4FDDDA30" w:rsidR="00BA3F0D" w:rsidRPr="002934FE" w:rsidRDefault="00AA7EA3" w:rsidP="002A7E4B">
            <w:pPr>
              <w:jc w:val="center"/>
              <w:rPr>
                <w:sz w:val="20"/>
                <w:szCs w:val="20"/>
              </w:rPr>
            </w:pPr>
            <w:r w:rsidRPr="002934FE">
              <w:rPr>
                <w:sz w:val="20"/>
                <w:szCs w:val="20"/>
              </w:rPr>
              <w:br w:type="page"/>
            </w:r>
          </w:p>
          <w:p w14:paraId="59DD918D" w14:textId="1B96D285" w:rsidR="002A7E4B" w:rsidRPr="002934FE" w:rsidRDefault="002A7E4B" w:rsidP="002A7E4B">
            <w:pPr>
              <w:jc w:val="center"/>
              <w:rPr>
                <w:sz w:val="20"/>
                <w:szCs w:val="20"/>
              </w:rPr>
            </w:pPr>
            <w:r w:rsidRPr="002934FE">
              <w:rPr>
                <w:sz w:val="20"/>
                <w:szCs w:val="20"/>
              </w:rPr>
              <w:t>5</w:t>
            </w:r>
          </w:p>
        </w:tc>
        <w:tc>
          <w:tcPr>
            <w:tcW w:w="1260" w:type="dxa"/>
          </w:tcPr>
          <w:p w14:paraId="4D1468F5" w14:textId="77777777" w:rsidR="00BA3F0D" w:rsidRPr="002934FE" w:rsidRDefault="00BA3F0D" w:rsidP="002A7E4B">
            <w:pPr>
              <w:rPr>
                <w:sz w:val="20"/>
                <w:szCs w:val="20"/>
              </w:rPr>
            </w:pPr>
          </w:p>
          <w:p w14:paraId="2425BE2B" w14:textId="0162F9C3" w:rsidR="002A7E4B" w:rsidRPr="002934FE" w:rsidRDefault="002A7E4B" w:rsidP="002A7E4B">
            <w:pPr>
              <w:rPr>
                <w:sz w:val="20"/>
                <w:szCs w:val="20"/>
              </w:rPr>
            </w:pPr>
            <w:r w:rsidRPr="002934FE">
              <w:rPr>
                <w:sz w:val="20"/>
                <w:szCs w:val="20"/>
              </w:rPr>
              <w:t>8/6/2024</w:t>
            </w:r>
          </w:p>
        </w:tc>
        <w:tc>
          <w:tcPr>
            <w:tcW w:w="1260" w:type="dxa"/>
          </w:tcPr>
          <w:p w14:paraId="072AFEC9" w14:textId="77777777" w:rsidR="00BA3F0D" w:rsidRPr="002934FE" w:rsidRDefault="00BA3F0D" w:rsidP="002A7E4B">
            <w:pPr>
              <w:rPr>
                <w:sz w:val="20"/>
                <w:szCs w:val="20"/>
              </w:rPr>
            </w:pPr>
          </w:p>
          <w:p w14:paraId="2AEB27D1" w14:textId="230B64E9" w:rsidR="002A7E4B" w:rsidRPr="002934FE" w:rsidRDefault="002A7E4B" w:rsidP="002A7E4B">
            <w:pPr>
              <w:rPr>
                <w:sz w:val="20"/>
                <w:szCs w:val="20"/>
              </w:rPr>
            </w:pPr>
            <w:r w:rsidRPr="002934FE">
              <w:rPr>
                <w:sz w:val="20"/>
                <w:szCs w:val="20"/>
              </w:rPr>
              <w:t>8/20/2024</w:t>
            </w:r>
          </w:p>
          <w:p w14:paraId="56FD3955" w14:textId="35CB0648" w:rsidR="002A7E4B" w:rsidRPr="002934FE" w:rsidRDefault="002A7E4B" w:rsidP="002A7E4B">
            <w:pPr>
              <w:rPr>
                <w:sz w:val="20"/>
                <w:szCs w:val="20"/>
              </w:rPr>
            </w:pPr>
          </w:p>
        </w:tc>
        <w:tc>
          <w:tcPr>
            <w:tcW w:w="4680" w:type="dxa"/>
          </w:tcPr>
          <w:p w14:paraId="063AA4CB" w14:textId="77777777" w:rsidR="00BA3F0D" w:rsidRDefault="00BA3F0D" w:rsidP="002A7E4B">
            <w:pPr>
              <w:rPr>
                <w:sz w:val="20"/>
                <w:szCs w:val="20"/>
              </w:rPr>
            </w:pPr>
          </w:p>
          <w:p w14:paraId="12D0BB51" w14:textId="77777777" w:rsidR="00F074E7" w:rsidRPr="00F074E7" w:rsidRDefault="00F074E7" w:rsidP="00F074E7">
            <w:pPr>
              <w:rPr>
                <w:sz w:val="20"/>
                <w:szCs w:val="20"/>
              </w:rPr>
            </w:pPr>
            <w:r w:rsidRPr="00F074E7">
              <w:rPr>
                <w:sz w:val="20"/>
                <w:szCs w:val="20"/>
              </w:rPr>
              <w:t xml:space="preserve">In the Proposal Response Form, items 2C requests information on "secondary team members," but then gives examples as "Actuarial Lead" which seems more like an actuary (listed in </w:t>
            </w:r>
            <w:r w:rsidRPr="00F074E7">
              <w:rPr>
                <w:sz w:val="20"/>
                <w:szCs w:val="20"/>
              </w:rPr>
              <w:lastRenderedPageBreak/>
              <w:t>item 2A) or primary team members (listed in item 2B).  Can you clarify 2C?</w:t>
            </w:r>
          </w:p>
          <w:p w14:paraId="4B8D572E" w14:textId="5017434E" w:rsidR="00F074E7" w:rsidRPr="002934FE" w:rsidRDefault="00F074E7" w:rsidP="002A7E4B">
            <w:pPr>
              <w:rPr>
                <w:sz w:val="20"/>
                <w:szCs w:val="20"/>
              </w:rPr>
            </w:pPr>
          </w:p>
        </w:tc>
        <w:tc>
          <w:tcPr>
            <w:tcW w:w="4410" w:type="dxa"/>
          </w:tcPr>
          <w:p w14:paraId="0C7D39B3" w14:textId="77777777" w:rsidR="00BA3F0D" w:rsidRDefault="00BA3F0D" w:rsidP="002A7E4B">
            <w:pPr>
              <w:rPr>
                <w:sz w:val="20"/>
                <w:szCs w:val="20"/>
              </w:rPr>
            </w:pPr>
          </w:p>
          <w:p w14:paraId="3B1B4325" w14:textId="77777777" w:rsidR="00F074E7" w:rsidRPr="00F074E7" w:rsidRDefault="00F074E7" w:rsidP="00F074E7">
            <w:pPr>
              <w:rPr>
                <w:sz w:val="20"/>
                <w:szCs w:val="20"/>
              </w:rPr>
            </w:pPr>
            <w:r w:rsidRPr="00F074E7">
              <w:rPr>
                <w:sz w:val="20"/>
                <w:szCs w:val="20"/>
              </w:rPr>
              <w:t xml:space="preserve">Actuarial leads should be included under Section 2A of the response form and primary team members should be listed in Section 2B.  If there are other analysts, communication </w:t>
            </w:r>
            <w:r w:rsidRPr="00F074E7">
              <w:rPr>
                <w:sz w:val="20"/>
                <w:szCs w:val="20"/>
              </w:rPr>
              <w:lastRenderedPageBreak/>
              <w:t>consultants, or positions that will also be used for these contract services, please list them in Section 2C.  Otherwise, note in your response that Section 2C is not applicable.</w:t>
            </w:r>
          </w:p>
          <w:p w14:paraId="08566FBC" w14:textId="3B6E90AE" w:rsidR="00F074E7" w:rsidRPr="002934FE" w:rsidRDefault="00F074E7" w:rsidP="002A7E4B">
            <w:pPr>
              <w:rPr>
                <w:sz w:val="20"/>
                <w:szCs w:val="20"/>
              </w:rPr>
            </w:pPr>
          </w:p>
        </w:tc>
        <w:tc>
          <w:tcPr>
            <w:tcW w:w="2065" w:type="dxa"/>
          </w:tcPr>
          <w:p w14:paraId="7709219C" w14:textId="77777777" w:rsidR="002A7E4B" w:rsidRPr="002934FE" w:rsidRDefault="002A7E4B" w:rsidP="002A7E4B">
            <w:pPr>
              <w:rPr>
                <w:sz w:val="20"/>
                <w:szCs w:val="20"/>
              </w:rPr>
            </w:pPr>
          </w:p>
        </w:tc>
      </w:tr>
      <w:tr w:rsidR="002A7E4B" w:rsidRPr="002934FE" w14:paraId="319C97CB" w14:textId="77777777" w:rsidTr="64BAFC01">
        <w:tc>
          <w:tcPr>
            <w:tcW w:w="715" w:type="dxa"/>
          </w:tcPr>
          <w:p w14:paraId="3F880929" w14:textId="0D085662" w:rsidR="00BA3F0D" w:rsidRPr="002934FE" w:rsidRDefault="00BA3F0D" w:rsidP="002A7E4B">
            <w:pPr>
              <w:jc w:val="center"/>
              <w:rPr>
                <w:sz w:val="20"/>
                <w:szCs w:val="20"/>
              </w:rPr>
            </w:pPr>
          </w:p>
          <w:p w14:paraId="406894AD" w14:textId="2F71E5C2" w:rsidR="002A7E4B" w:rsidRPr="002934FE" w:rsidRDefault="002A7E4B" w:rsidP="002A7E4B">
            <w:pPr>
              <w:jc w:val="center"/>
              <w:rPr>
                <w:sz w:val="20"/>
                <w:szCs w:val="20"/>
              </w:rPr>
            </w:pPr>
            <w:r w:rsidRPr="002934FE">
              <w:rPr>
                <w:sz w:val="20"/>
                <w:szCs w:val="20"/>
              </w:rPr>
              <w:t>6</w:t>
            </w:r>
          </w:p>
        </w:tc>
        <w:tc>
          <w:tcPr>
            <w:tcW w:w="1260" w:type="dxa"/>
          </w:tcPr>
          <w:p w14:paraId="49CA19E2" w14:textId="77777777" w:rsidR="00BA3F0D" w:rsidRPr="002934FE" w:rsidRDefault="00BA3F0D" w:rsidP="002A7E4B">
            <w:pPr>
              <w:rPr>
                <w:sz w:val="20"/>
                <w:szCs w:val="20"/>
              </w:rPr>
            </w:pPr>
          </w:p>
          <w:p w14:paraId="071C7530" w14:textId="60D440E2" w:rsidR="002A7E4B" w:rsidRPr="002934FE" w:rsidRDefault="002A7E4B" w:rsidP="002A7E4B">
            <w:pPr>
              <w:rPr>
                <w:sz w:val="20"/>
                <w:szCs w:val="20"/>
              </w:rPr>
            </w:pPr>
            <w:r w:rsidRPr="002934FE">
              <w:rPr>
                <w:sz w:val="20"/>
                <w:szCs w:val="20"/>
              </w:rPr>
              <w:t>8/6/2024</w:t>
            </w:r>
          </w:p>
        </w:tc>
        <w:tc>
          <w:tcPr>
            <w:tcW w:w="1260" w:type="dxa"/>
          </w:tcPr>
          <w:p w14:paraId="35DD8691" w14:textId="77777777" w:rsidR="00BA3F0D" w:rsidRPr="002934FE" w:rsidRDefault="00BA3F0D" w:rsidP="002A7E4B">
            <w:pPr>
              <w:rPr>
                <w:sz w:val="20"/>
                <w:szCs w:val="20"/>
              </w:rPr>
            </w:pPr>
          </w:p>
          <w:p w14:paraId="6D1070E3" w14:textId="694FCFA3" w:rsidR="002A7E4B" w:rsidRPr="002934FE" w:rsidRDefault="002A7E4B" w:rsidP="002A7E4B">
            <w:pPr>
              <w:rPr>
                <w:sz w:val="20"/>
                <w:szCs w:val="20"/>
              </w:rPr>
            </w:pPr>
            <w:r w:rsidRPr="002934FE">
              <w:rPr>
                <w:sz w:val="20"/>
                <w:szCs w:val="20"/>
              </w:rPr>
              <w:t>8/20/2024</w:t>
            </w:r>
          </w:p>
          <w:p w14:paraId="69C858B9" w14:textId="46AC00BB" w:rsidR="002A7E4B" w:rsidRPr="002934FE" w:rsidRDefault="002A7E4B" w:rsidP="002A7E4B">
            <w:pPr>
              <w:rPr>
                <w:sz w:val="20"/>
                <w:szCs w:val="20"/>
              </w:rPr>
            </w:pPr>
          </w:p>
        </w:tc>
        <w:tc>
          <w:tcPr>
            <w:tcW w:w="4680" w:type="dxa"/>
          </w:tcPr>
          <w:p w14:paraId="1B2B00CD" w14:textId="77777777" w:rsidR="00BA3F0D" w:rsidRDefault="00BA3F0D" w:rsidP="002A7E4B">
            <w:pPr>
              <w:rPr>
                <w:sz w:val="20"/>
                <w:szCs w:val="20"/>
              </w:rPr>
            </w:pPr>
          </w:p>
          <w:p w14:paraId="5BCA6EDF" w14:textId="77777777" w:rsidR="00F074E7" w:rsidRPr="00F074E7" w:rsidRDefault="00F074E7" w:rsidP="00F074E7">
            <w:pPr>
              <w:rPr>
                <w:sz w:val="20"/>
                <w:szCs w:val="20"/>
              </w:rPr>
            </w:pPr>
            <w:r w:rsidRPr="00F074E7">
              <w:rPr>
                <w:sz w:val="20"/>
                <w:szCs w:val="20"/>
              </w:rPr>
              <w:t>If a proposal is over 20 mb, can we email it in parts, or does the entire proposal need to strictly be kept under 20mb?</w:t>
            </w:r>
          </w:p>
          <w:p w14:paraId="4600AA71" w14:textId="1DBBBF70" w:rsidR="00F074E7" w:rsidRPr="002934FE" w:rsidRDefault="00F074E7" w:rsidP="002A7E4B">
            <w:pPr>
              <w:rPr>
                <w:sz w:val="20"/>
                <w:szCs w:val="20"/>
              </w:rPr>
            </w:pPr>
          </w:p>
        </w:tc>
        <w:tc>
          <w:tcPr>
            <w:tcW w:w="4410" w:type="dxa"/>
          </w:tcPr>
          <w:p w14:paraId="680AFAFD" w14:textId="77777777" w:rsidR="00BA3F0D" w:rsidRDefault="00BA3F0D" w:rsidP="002A7E4B">
            <w:pPr>
              <w:rPr>
                <w:sz w:val="20"/>
                <w:szCs w:val="20"/>
              </w:rPr>
            </w:pPr>
          </w:p>
          <w:p w14:paraId="084BB273" w14:textId="77777777" w:rsidR="00F074E7" w:rsidRPr="00F074E7" w:rsidRDefault="00F074E7" w:rsidP="00F074E7">
            <w:pPr>
              <w:rPr>
                <w:sz w:val="20"/>
                <w:szCs w:val="20"/>
              </w:rPr>
            </w:pPr>
            <w:r w:rsidRPr="00F074E7">
              <w:rPr>
                <w:sz w:val="20"/>
                <w:szCs w:val="20"/>
              </w:rPr>
              <w:t xml:space="preserve">Email size limitations are a </w:t>
            </w:r>
            <w:proofErr w:type="gramStart"/>
            <w:r w:rsidRPr="00F074E7">
              <w:rPr>
                <w:sz w:val="20"/>
                <w:szCs w:val="20"/>
              </w:rPr>
              <w:t>City</w:t>
            </w:r>
            <w:proofErr w:type="gramEnd"/>
            <w:r w:rsidRPr="00F074E7">
              <w:rPr>
                <w:sz w:val="20"/>
                <w:szCs w:val="20"/>
              </w:rPr>
              <w:t xml:space="preserve"> system limitation.  If your proposal is over 20 MB, it is acceptable to email it to SCERS in 2 parts, </w:t>
            </w:r>
            <w:proofErr w:type="gramStart"/>
            <w:r w:rsidRPr="00F074E7">
              <w:rPr>
                <w:sz w:val="20"/>
                <w:szCs w:val="20"/>
              </w:rPr>
              <w:t>as long as</w:t>
            </w:r>
            <w:proofErr w:type="gramEnd"/>
            <w:r w:rsidRPr="00F074E7">
              <w:rPr>
                <w:sz w:val="20"/>
                <w:szCs w:val="20"/>
              </w:rPr>
              <w:t xml:space="preserve"> all parts of your proposal are received before the submission deadline.  </w:t>
            </w:r>
          </w:p>
          <w:p w14:paraId="229786D9" w14:textId="308C2655" w:rsidR="00F074E7" w:rsidRPr="002934FE" w:rsidRDefault="00F074E7" w:rsidP="002A7E4B">
            <w:pPr>
              <w:rPr>
                <w:sz w:val="20"/>
                <w:szCs w:val="20"/>
              </w:rPr>
            </w:pPr>
          </w:p>
        </w:tc>
        <w:tc>
          <w:tcPr>
            <w:tcW w:w="2065" w:type="dxa"/>
          </w:tcPr>
          <w:p w14:paraId="2A1CE57C" w14:textId="77777777" w:rsidR="002A7E4B" w:rsidRPr="002934FE" w:rsidRDefault="002A7E4B" w:rsidP="002A7E4B">
            <w:pPr>
              <w:rPr>
                <w:sz w:val="20"/>
                <w:szCs w:val="20"/>
              </w:rPr>
            </w:pPr>
          </w:p>
        </w:tc>
      </w:tr>
      <w:tr w:rsidR="002A7E4B" w:rsidRPr="002934FE" w14:paraId="5B72DA49" w14:textId="77777777" w:rsidTr="64BAFC01">
        <w:tc>
          <w:tcPr>
            <w:tcW w:w="715" w:type="dxa"/>
          </w:tcPr>
          <w:p w14:paraId="6A36CB9B" w14:textId="77777777" w:rsidR="00BA3F0D" w:rsidRPr="002934FE" w:rsidRDefault="00BA3F0D" w:rsidP="002A7E4B">
            <w:pPr>
              <w:jc w:val="center"/>
              <w:rPr>
                <w:sz w:val="20"/>
                <w:szCs w:val="20"/>
              </w:rPr>
            </w:pPr>
          </w:p>
          <w:p w14:paraId="26265F5F" w14:textId="0E80472A" w:rsidR="002A7E4B" w:rsidRPr="002934FE" w:rsidRDefault="002A7E4B" w:rsidP="002A7E4B">
            <w:pPr>
              <w:jc w:val="center"/>
              <w:rPr>
                <w:sz w:val="20"/>
                <w:szCs w:val="20"/>
              </w:rPr>
            </w:pPr>
            <w:r w:rsidRPr="002934FE">
              <w:rPr>
                <w:sz w:val="20"/>
                <w:szCs w:val="20"/>
              </w:rPr>
              <w:t>7</w:t>
            </w:r>
          </w:p>
        </w:tc>
        <w:tc>
          <w:tcPr>
            <w:tcW w:w="1260" w:type="dxa"/>
          </w:tcPr>
          <w:p w14:paraId="21ED14C0" w14:textId="77777777" w:rsidR="00BA3F0D" w:rsidRPr="002934FE" w:rsidRDefault="00BA3F0D" w:rsidP="002A7E4B">
            <w:pPr>
              <w:rPr>
                <w:sz w:val="20"/>
                <w:szCs w:val="20"/>
              </w:rPr>
            </w:pPr>
          </w:p>
          <w:p w14:paraId="29258CB1" w14:textId="532DDFBC" w:rsidR="002A7E4B" w:rsidRPr="002934FE" w:rsidRDefault="002A7E4B" w:rsidP="002A7E4B">
            <w:pPr>
              <w:rPr>
                <w:sz w:val="20"/>
                <w:szCs w:val="20"/>
              </w:rPr>
            </w:pPr>
            <w:r w:rsidRPr="002934FE">
              <w:rPr>
                <w:sz w:val="20"/>
                <w:szCs w:val="20"/>
              </w:rPr>
              <w:t>8/6/2024</w:t>
            </w:r>
          </w:p>
        </w:tc>
        <w:tc>
          <w:tcPr>
            <w:tcW w:w="1260" w:type="dxa"/>
          </w:tcPr>
          <w:p w14:paraId="3D6EAD68" w14:textId="77777777" w:rsidR="00BA3F0D" w:rsidRPr="002934FE" w:rsidRDefault="00BA3F0D" w:rsidP="002A7E4B">
            <w:pPr>
              <w:rPr>
                <w:sz w:val="20"/>
                <w:szCs w:val="20"/>
              </w:rPr>
            </w:pPr>
          </w:p>
          <w:p w14:paraId="460CA840" w14:textId="1F41E158" w:rsidR="002A7E4B" w:rsidRPr="002934FE" w:rsidRDefault="002A7E4B" w:rsidP="002A7E4B">
            <w:pPr>
              <w:rPr>
                <w:sz w:val="20"/>
                <w:szCs w:val="20"/>
              </w:rPr>
            </w:pPr>
            <w:r w:rsidRPr="002934FE">
              <w:rPr>
                <w:sz w:val="20"/>
                <w:szCs w:val="20"/>
              </w:rPr>
              <w:t>8/20/2024</w:t>
            </w:r>
          </w:p>
          <w:p w14:paraId="2093193A" w14:textId="0DDD7CFA" w:rsidR="002A7E4B" w:rsidRPr="002934FE" w:rsidRDefault="002A7E4B" w:rsidP="002A7E4B">
            <w:pPr>
              <w:rPr>
                <w:sz w:val="20"/>
                <w:szCs w:val="20"/>
              </w:rPr>
            </w:pPr>
          </w:p>
        </w:tc>
        <w:tc>
          <w:tcPr>
            <w:tcW w:w="4680" w:type="dxa"/>
          </w:tcPr>
          <w:p w14:paraId="2A64EE5C" w14:textId="77777777" w:rsidR="00BA3F0D" w:rsidRDefault="00BA3F0D" w:rsidP="002A7E4B">
            <w:pPr>
              <w:rPr>
                <w:sz w:val="20"/>
                <w:szCs w:val="20"/>
              </w:rPr>
            </w:pPr>
          </w:p>
          <w:p w14:paraId="7D190F4B" w14:textId="77777777" w:rsidR="00F074E7" w:rsidRPr="00F074E7" w:rsidRDefault="00F074E7" w:rsidP="00F074E7">
            <w:pPr>
              <w:rPr>
                <w:sz w:val="20"/>
                <w:szCs w:val="20"/>
              </w:rPr>
            </w:pPr>
            <w:r w:rsidRPr="00F074E7">
              <w:rPr>
                <w:sz w:val="20"/>
                <w:szCs w:val="20"/>
              </w:rPr>
              <w:t>To confirm, we will receive the response to questions asked during this call and questions sent via email after August 16</w:t>
            </w:r>
            <w:r w:rsidRPr="00F074E7">
              <w:rPr>
                <w:sz w:val="20"/>
                <w:szCs w:val="20"/>
                <w:vertAlign w:val="superscript"/>
              </w:rPr>
              <w:t>th</w:t>
            </w:r>
            <w:r w:rsidRPr="00F074E7">
              <w:rPr>
                <w:sz w:val="20"/>
                <w:szCs w:val="20"/>
              </w:rPr>
              <w:t>?</w:t>
            </w:r>
          </w:p>
          <w:p w14:paraId="463B7F04" w14:textId="7D284B4B" w:rsidR="00F074E7" w:rsidRPr="002934FE" w:rsidRDefault="00F074E7" w:rsidP="002A7E4B">
            <w:pPr>
              <w:rPr>
                <w:sz w:val="20"/>
                <w:szCs w:val="20"/>
              </w:rPr>
            </w:pPr>
          </w:p>
        </w:tc>
        <w:tc>
          <w:tcPr>
            <w:tcW w:w="4410" w:type="dxa"/>
          </w:tcPr>
          <w:p w14:paraId="6074F29D" w14:textId="77777777" w:rsidR="00BA3F0D" w:rsidRDefault="00BA3F0D" w:rsidP="002A7E4B">
            <w:pPr>
              <w:rPr>
                <w:sz w:val="20"/>
                <w:szCs w:val="20"/>
              </w:rPr>
            </w:pPr>
          </w:p>
          <w:p w14:paraId="018C590A" w14:textId="77777777" w:rsidR="00F074E7" w:rsidRPr="00F074E7" w:rsidRDefault="00F074E7" w:rsidP="00F074E7">
            <w:pPr>
              <w:rPr>
                <w:sz w:val="20"/>
                <w:szCs w:val="20"/>
              </w:rPr>
            </w:pPr>
            <w:r w:rsidRPr="00F074E7">
              <w:rPr>
                <w:sz w:val="20"/>
                <w:szCs w:val="20"/>
              </w:rPr>
              <w:t>All questions received by SCERS before August 16</w:t>
            </w:r>
            <w:r w:rsidRPr="00F074E7">
              <w:rPr>
                <w:sz w:val="20"/>
                <w:szCs w:val="20"/>
                <w:vertAlign w:val="superscript"/>
              </w:rPr>
              <w:t>th</w:t>
            </w:r>
            <w:r w:rsidRPr="00F074E7">
              <w:rPr>
                <w:sz w:val="20"/>
                <w:szCs w:val="20"/>
              </w:rPr>
              <w:t xml:space="preserve"> have been responded to in this addendum.  </w:t>
            </w:r>
          </w:p>
          <w:p w14:paraId="73849816" w14:textId="6D076DE8" w:rsidR="00F074E7" w:rsidRPr="002934FE" w:rsidRDefault="00F074E7" w:rsidP="002A7E4B">
            <w:pPr>
              <w:rPr>
                <w:sz w:val="20"/>
                <w:szCs w:val="20"/>
              </w:rPr>
            </w:pPr>
          </w:p>
        </w:tc>
        <w:tc>
          <w:tcPr>
            <w:tcW w:w="2065" w:type="dxa"/>
          </w:tcPr>
          <w:p w14:paraId="40CB89D0" w14:textId="77777777" w:rsidR="002A7E4B" w:rsidRPr="002934FE" w:rsidRDefault="002A7E4B" w:rsidP="002A7E4B">
            <w:pPr>
              <w:rPr>
                <w:sz w:val="20"/>
                <w:szCs w:val="20"/>
                <w:highlight w:val="yellow"/>
              </w:rPr>
            </w:pPr>
          </w:p>
        </w:tc>
      </w:tr>
      <w:tr w:rsidR="00BA3F0D" w:rsidRPr="002934FE" w14:paraId="63189F56" w14:textId="77777777" w:rsidTr="64BAFC01">
        <w:tc>
          <w:tcPr>
            <w:tcW w:w="715" w:type="dxa"/>
          </w:tcPr>
          <w:p w14:paraId="64827C87" w14:textId="77777777" w:rsidR="00BA3F0D" w:rsidRPr="002934FE" w:rsidRDefault="00BA3F0D" w:rsidP="002A7E4B">
            <w:pPr>
              <w:jc w:val="center"/>
              <w:rPr>
                <w:sz w:val="20"/>
                <w:szCs w:val="20"/>
              </w:rPr>
            </w:pPr>
          </w:p>
          <w:p w14:paraId="58833448" w14:textId="7CF03DBA" w:rsidR="00BA3F0D" w:rsidRPr="002934FE" w:rsidRDefault="00BA3F0D" w:rsidP="002A7E4B">
            <w:pPr>
              <w:jc w:val="center"/>
              <w:rPr>
                <w:sz w:val="20"/>
                <w:szCs w:val="20"/>
              </w:rPr>
            </w:pPr>
            <w:r w:rsidRPr="002934FE">
              <w:rPr>
                <w:sz w:val="20"/>
                <w:szCs w:val="20"/>
              </w:rPr>
              <w:t>8</w:t>
            </w:r>
          </w:p>
        </w:tc>
        <w:tc>
          <w:tcPr>
            <w:tcW w:w="1260" w:type="dxa"/>
          </w:tcPr>
          <w:p w14:paraId="0128784E" w14:textId="77777777" w:rsidR="00BA3F0D" w:rsidRPr="002934FE" w:rsidRDefault="00BA3F0D" w:rsidP="002A7E4B">
            <w:pPr>
              <w:rPr>
                <w:sz w:val="20"/>
                <w:szCs w:val="20"/>
              </w:rPr>
            </w:pPr>
          </w:p>
          <w:p w14:paraId="3C799F13" w14:textId="79330A6B" w:rsidR="00BA3F0D" w:rsidRPr="002934FE" w:rsidRDefault="00BA3F0D" w:rsidP="002A7E4B">
            <w:pPr>
              <w:rPr>
                <w:sz w:val="20"/>
                <w:szCs w:val="20"/>
              </w:rPr>
            </w:pPr>
            <w:r w:rsidRPr="002934FE">
              <w:rPr>
                <w:sz w:val="20"/>
                <w:szCs w:val="20"/>
              </w:rPr>
              <w:t>8/6/2024</w:t>
            </w:r>
          </w:p>
        </w:tc>
        <w:tc>
          <w:tcPr>
            <w:tcW w:w="1260" w:type="dxa"/>
          </w:tcPr>
          <w:p w14:paraId="0C8BF836" w14:textId="77777777" w:rsidR="00BA3F0D" w:rsidRPr="002934FE" w:rsidRDefault="00BA3F0D" w:rsidP="002A7E4B">
            <w:pPr>
              <w:rPr>
                <w:sz w:val="20"/>
                <w:szCs w:val="20"/>
              </w:rPr>
            </w:pPr>
          </w:p>
          <w:p w14:paraId="20D86B7A" w14:textId="5298EA79" w:rsidR="00BA3F0D" w:rsidRPr="002934FE" w:rsidRDefault="00BA3F0D" w:rsidP="002A7E4B">
            <w:pPr>
              <w:rPr>
                <w:sz w:val="20"/>
                <w:szCs w:val="20"/>
              </w:rPr>
            </w:pPr>
            <w:r w:rsidRPr="002934FE">
              <w:rPr>
                <w:sz w:val="20"/>
                <w:szCs w:val="20"/>
              </w:rPr>
              <w:t>8/20/2024</w:t>
            </w:r>
          </w:p>
        </w:tc>
        <w:tc>
          <w:tcPr>
            <w:tcW w:w="4680" w:type="dxa"/>
          </w:tcPr>
          <w:p w14:paraId="5A2C2192" w14:textId="77777777" w:rsidR="00BA3F0D" w:rsidRDefault="00BA3F0D" w:rsidP="002A7E4B">
            <w:pPr>
              <w:rPr>
                <w:sz w:val="20"/>
                <w:szCs w:val="20"/>
              </w:rPr>
            </w:pPr>
          </w:p>
          <w:p w14:paraId="6A10B135" w14:textId="77777777" w:rsidR="00F074E7" w:rsidRPr="00F074E7" w:rsidRDefault="00F074E7" w:rsidP="00F074E7">
            <w:pPr>
              <w:rPr>
                <w:sz w:val="20"/>
                <w:szCs w:val="20"/>
              </w:rPr>
            </w:pPr>
            <w:r w:rsidRPr="00F074E7">
              <w:rPr>
                <w:sz w:val="20"/>
                <w:szCs w:val="20"/>
              </w:rPr>
              <w:t xml:space="preserve">Under RFP Section 4 (Minimum Requirements), item 3 requires the principal actuary assigned to provide services to SCERS be a Fellow of the Society of Actuaries. Would it be acceptable to SCERS for the principal actuary to be an Associate of the Society of Actuaries who has 30 years of experience consulting to large statewide and municipal retirement systems and meets </w:t>
            </w:r>
            <w:proofErr w:type="gramStart"/>
            <w:r w:rsidRPr="00F074E7">
              <w:rPr>
                <w:sz w:val="20"/>
                <w:szCs w:val="20"/>
              </w:rPr>
              <w:t>all of</w:t>
            </w:r>
            <w:proofErr w:type="gramEnd"/>
            <w:r w:rsidRPr="00F074E7">
              <w:rPr>
                <w:sz w:val="20"/>
                <w:szCs w:val="20"/>
              </w:rPr>
              <w:t xml:space="preserve"> the other requirements?</w:t>
            </w:r>
          </w:p>
          <w:p w14:paraId="299FFD6A" w14:textId="77777777" w:rsidR="00F074E7" w:rsidRPr="002934FE" w:rsidRDefault="00F074E7" w:rsidP="002A7E4B">
            <w:pPr>
              <w:rPr>
                <w:sz w:val="20"/>
                <w:szCs w:val="20"/>
              </w:rPr>
            </w:pPr>
          </w:p>
        </w:tc>
        <w:tc>
          <w:tcPr>
            <w:tcW w:w="4410" w:type="dxa"/>
          </w:tcPr>
          <w:p w14:paraId="268FBF37" w14:textId="77777777" w:rsidR="00BA3F0D" w:rsidRDefault="00BA3F0D" w:rsidP="002A7E4B">
            <w:pPr>
              <w:rPr>
                <w:sz w:val="20"/>
                <w:szCs w:val="20"/>
              </w:rPr>
            </w:pPr>
          </w:p>
          <w:p w14:paraId="79C99A08" w14:textId="73A7677C" w:rsidR="00F074E7" w:rsidRPr="002934FE" w:rsidRDefault="00F074E7" w:rsidP="002A7E4B">
            <w:pPr>
              <w:rPr>
                <w:sz w:val="20"/>
                <w:szCs w:val="20"/>
              </w:rPr>
            </w:pPr>
            <w:r w:rsidRPr="00F074E7">
              <w:rPr>
                <w:sz w:val="20"/>
                <w:szCs w:val="20"/>
              </w:rPr>
              <w:t xml:space="preserve">It would be acceptable for the principal actuary to be an Associate.  </w:t>
            </w:r>
          </w:p>
        </w:tc>
        <w:tc>
          <w:tcPr>
            <w:tcW w:w="2065" w:type="dxa"/>
          </w:tcPr>
          <w:p w14:paraId="03FB7E8F" w14:textId="77777777" w:rsidR="00BA3F0D" w:rsidRPr="00221C63" w:rsidRDefault="00BA3F0D" w:rsidP="002A7E4B">
            <w:pPr>
              <w:rPr>
                <w:sz w:val="20"/>
                <w:szCs w:val="20"/>
                <w:highlight w:val="yellow"/>
              </w:rPr>
            </w:pPr>
          </w:p>
          <w:p w14:paraId="4A87527E" w14:textId="38505946" w:rsidR="00FB11FC" w:rsidRPr="00221C63" w:rsidRDefault="00FB11FC" w:rsidP="002A7E4B">
            <w:pPr>
              <w:rPr>
                <w:sz w:val="20"/>
                <w:szCs w:val="20"/>
              </w:rPr>
            </w:pPr>
            <w:r w:rsidRPr="00221C63">
              <w:rPr>
                <w:sz w:val="20"/>
                <w:szCs w:val="20"/>
              </w:rPr>
              <w:t>4.1 – Minimum Qualifications</w:t>
            </w:r>
            <w:r w:rsidR="00221C63">
              <w:rPr>
                <w:sz w:val="20"/>
                <w:szCs w:val="20"/>
              </w:rPr>
              <w:t>, #1</w:t>
            </w:r>
          </w:p>
          <w:p w14:paraId="44748C5B" w14:textId="57E6096A" w:rsidR="00221C63" w:rsidRPr="00221C63" w:rsidRDefault="00221C63" w:rsidP="00221C63">
            <w:pPr>
              <w:spacing w:after="120"/>
              <w:rPr>
                <w:sz w:val="20"/>
                <w:szCs w:val="20"/>
              </w:rPr>
            </w:pPr>
            <w:r w:rsidRPr="00221C63">
              <w:rPr>
                <w:sz w:val="20"/>
                <w:szCs w:val="20"/>
              </w:rPr>
              <w:t>The principal actuary assigned to provide services to SCERS must have a minimum of five years professional actuarial experience, be an enrolled actuary</w:t>
            </w:r>
            <w:r>
              <w:rPr>
                <w:sz w:val="20"/>
                <w:szCs w:val="20"/>
              </w:rPr>
              <w:t xml:space="preserve"> </w:t>
            </w:r>
            <w:r w:rsidRPr="00221C63">
              <w:rPr>
                <w:b/>
                <w:bCs/>
                <w:sz w:val="20"/>
                <w:szCs w:val="20"/>
              </w:rPr>
              <w:t>or associate</w:t>
            </w:r>
            <w:r w:rsidRPr="00221C63">
              <w:rPr>
                <w:sz w:val="20"/>
                <w:szCs w:val="20"/>
              </w:rPr>
              <w:t>, a Member of the American Academy of Actuaries, and a Fellow of the Society of Actuaries.</w:t>
            </w:r>
          </w:p>
          <w:p w14:paraId="46270C88" w14:textId="03E7ACEF" w:rsidR="00221C63" w:rsidRPr="00221C63" w:rsidRDefault="00221C63" w:rsidP="002A7E4B">
            <w:pPr>
              <w:rPr>
                <w:sz w:val="20"/>
                <w:szCs w:val="20"/>
                <w:highlight w:val="yellow"/>
              </w:rPr>
            </w:pPr>
          </w:p>
        </w:tc>
      </w:tr>
      <w:tr w:rsidR="008C52C8" w:rsidRPr="002934FE" w14:paraId="291F797E" w14:textId="77777777" w:rsidTr="64BAFC01">
        <w:tc>
          <w:tcPr>
            <w:tcW w:w="715" w:type="dxa"/>
          </w:tcPr>
          <w:p w14:paraId="76F9F9E8" w14:textId="77777777" w:rsidR="008C52C8" w:rsidRPr="002934FE" w:rsidRDefault="008C52C8" w:rsidP="002A7E4B">
            <w:pPr>
              <w:jc w:val="center"/>
              <w:rPr>
                <w:sz w:val="20"/>
                <w:szCs w:val="20"/>
              </w:rPr>
            </w:pPr>
          </w:p>
          <w:p w14:paraId="24BB6A1E" w14:textId="6EF51DAF" w:rsidR="008C52C8" w:rsidRPr="002934FE" w:rsidRDefault="008C52C8" w:rsidP="002A7E4B">
            <w:pPr>
              <w:jc w:val="center"/>
              <w:rPr>
                <w:sz w:val="20"/>
                <w:szCs w:val="20"/>
              </w:rPr>
            </w:pPr>
            <w:r w:rsidRPr="002934FE">
              <w:rPr>
                <w:sz w:val="20"/>
                <w:szCs w:val="20"/>
              </w:rPr>
              <w:t>9</w:t>
            </w:r>
          </w:p>
        </w:tc>
        <w:tc>
          <w:tcPr>
            <w:tcW w:w="1260" w:type="dxa"/>
          </w:tcPr>
          <w:p w14:paraId="7F47C5DE" w14:textId="77777777" w:rsidR="008C52C8" w:rsidRPr="002934FE" w:rsidRDefault="008C52C8" w:rsidP="002A7E4B">
            <w:pPr>
              <w:rPr>
                <w:sz w:val="20"/>
                <w:szCs w:val="20"/>
              </w:rPr>
            </w:pPr>
          </w:p>
          <w:p w14:paraId="44E2D3EB" w14:textId="6031A852" w:rsidR="008C52C8" w:rsidRPr="002934FE" w:rsidRDefault="008C52C8" w:rsidP="002A7E4B">
            <w:pPr>
              <w:rPr>
                <w:sz w:val="20"/>
                <w:szCs w:val="20"/>
              </w:rPr>
            </w:pPr>
            <w:r w:rsidRPr="002934FE">
              <w:rPr>
                <w:sz w:val="20"/>
                <w:szCs w:val="20"/>
              </w:rPr>
              <w:t>8/6/2024</w:t>
            </w:r>
          </w:p>
        </w:tc>
        <w:tc>
          <w:tcPr>
            <w:tcW w:w="1260" w:type="dxa"/>
          </w:tcPr>
          <w:p w14:paraId="37C8224A" w14:textId="77777777" w:rsidR="008C52C8" w:rsidRPr="002934FE" w:rsidRDefault="008C52C8" w:rsidP="002A7E4B">
            <w:pPr>
              <w:rPr>
                <w:sz w:val="20"/>
                <w:szCs w:val="20"/>
              </w:rPr>
            </w:pPr>
          </w:p>
          <w:p w14:paraId="4CE8C21A" w14:textId="15EFE461" w:rsidR="008C52C8" w:rsidRPr="002934FE" w:rsidRDefault="008C52C8" w:rsidP="002A7E4B">
            <w:pPr>
              <w:rPr>
                <w:sz w:val="20"/>
                <w:szCs w:val="20"/>
              </w:rPr>
            </w:pPr>
            <w:r w:rsidRPr="002934FE">
              <w:rPr>
                <w:sz w:val="20"/>
                <w:szCs w:val="20"/>
              </w:rPr>
              <w:t>8/20/2024</w:t>
            </w:r>
          </w:p>
        </w:tc>
        <w:tc>
          <w:tcPr>
            <w:tcW w:w="4680" w:type="dxa"/>
          </w:tcPr>
          <w:p w14:paraId="7544CA3A" w14:textId="77777777" w:rsidR="008C52C8" w:rsidRDefault="008C52C8" w:rsidP="002A7E4B">
            <w:pPr>
              <w:rPr>
                <w:sz w:val="20"/>
                <w:szCs w:val="20"/>
              </w:rPr>
            </w:pPr>
          </w:p>
          <w:p w14:paraId="6B0F13B8" w14:textId="77777777" w:rsidR="00833D1E" w:rsidRPr="00833D1E" w:rsidRDefault="00833D1E" w:rsidP="00833D1E">
            <w:pPr>
              <w:rPr>
                <w:sz w:val="20"/>
                <w:szCs w:val="20"/>
              </w:rPr>
            </w:pPr>
            <w:r w:rsidRPr="00833D1E">
              <w:rPr>
                <w:sz w:val="20"/>
                <w:szCs w:val="20"/>
              </w:rPr>
              <w:t>Item 2-D in the Proposal Response references “Annual Group Insurance premium volume.” This does not seem relevant to the engagement. Would it be acceptable to answer “Not Applicable” to this question?</w:t>
            </w:r>
          </w:p>
          <w:p w14:paraId="186B3039" w14:textId="02BFA9E8" w:rsidR="00833D1E" w:rsidRPr="002934FE" w:rsidRDefault="00833D1E" w:rsidP="002A7E4B">
            <w:pPr>
              <w:rPr>
                <w:sz w:val="20"/>
                <w:szCs w:val="20"/>
              </w:rPr>
            </w:pPr>
          </w:p>
        </w:tc>
        <w:tc>
          <w:tcPr>
            <w:tcW w:w="4410" w:type="dxa"/>
          </w:tcPr>
          <w:p w14:paraId="5CD66548" w14:textId="77777777" w:rsidR="008C52C8" w:rsidRDefault="008C52C8" w:rsidP="002A7E4B">
            <w:pPr>
              <w:rPr>
                <w:sz w:val="20"/>
                <w:szCs w:val="20"/>
              </w:rPr>
            </w:pPr>
          </w:p>
          <w:p w14:paraId="27F86CC0" w14:textId="77777777" w:rsidR="00833D1E" w:rsidRPr="00833D1E" w:rsidRDefault="00833D1E" w:rsidP="00833D1E">
            <w:pPr>
              <w:rPr>
                <w:sz w:val="20"/>
                <w:szCs w:val="20"/>
              </w:rPr>
            </w:pPr>
            <w:r w:rsidRPr="00833D1E">
              <w:rPr>
                <w:sz w:val="20"/>
                <w:szCs w:val="20"/>
              </w:rPr>
              <w:t>It is acceptable to answer, “Not Applicable.”  Please review Section 11 of the RFP for specific insurance requirements.</w:t>
            </w:r>
          </w:p>
          <w:p w14:paraId="6325A6D7" w14:textId="59D6E6BE" w:rsidR="00833D1E" w:rsidRPr="002934FE" w:rsidRDefault="00833D1E" w:rsidP="002A7E4B">
            <w:pPr>
              <w:rPr>
                <w:sz w:val="20"/>
                <w:szCs w:val="20"/>
              </w:rPr>
            </w:pPr>
          </w:p>
        </w:tc>
        <w:tc>
          <w:tcPr>
            <w:tcW w:w="2065" w:type="dxa"/>
          </w:tcPr>
          <w:p w14:paraId="367E5F6C" w14:textId="77777777" w:rsidR="008C52C8" w:rsidRPr="002934FE" w:rsidRDefault="008C52C8" w:rsidP="002A7E4B">
            <w:pPr>
              <w:rPr>
                <w:sz w:val="20"/>
                <w:szCs w:val="20"/>
                <w:highlight w:val="yellow"/>
              </w:rPr>
            </w:pPr>
          </w:p>
        </w:tc>
      </w:tr>
    </w:tbl>
    <w:p w14:paraId="299AA056" w14:textId="77777777" w:rsidR="004C52E1" w:rsidRDefault="004C52E1">
      <w:r>
        <w:br w:type="page"/>
      </w:r>
    </w:p>
    <w:tbl>
      <w:tblPr>
        <w:tblStyle w:val="TableGrid"/>
        <w:tblW w:w="0" w:type="auto"/>
        <w:tblLook w:val="04A0" w:firstRow="1" w:lastRow="0" w:firstColumn="1" w:lastColumn="0" w:noHBand="0" w:noVBand="1"/>
      </w:tblPr>
      <w:tblGrid>
        <w:gridCol w:w="715"/>
        <w:gridCol w:w="1260"/>
        <w:gridCol w:w="1260"/>
        <w:gridCol w:w="4680"/>
        <w:gridCol w:w="4410"/>
        <w:gridCol w:w="2065"/>
      </w:tblGrid>
      <w:tr w:rsidR="008C52C8" w:rsidRPr="002934FE" w14:paraId="18EA4D03" w14:textId="77777777" w:rsidTr="64BAFC01">
        <w:tc>
          <w:tcPr>
            <w:tcW w:w="715" w:type="dxa"/>
          </w:tcPr>
          <w:p w14:paraId="73EED38D" w14:textId="3C9E8D2C" w:rsidR="008C52C8" w:rsidRPr="002934FE" w:rsidRDefault="008C52C8" w:rsidP="002A7E4B">
            <w:pPr>
              <w:jc w:val="center"/>
              <w:rPr>
                <w:sz w:val="20"/>
                <w:szCs w:val="20"/>
              </w:rPr>
            </w:pPr>
          </w:p>
          <w:p w14:paraId="45302189" w14:textId="5E7222C3" w:rsidR="008C52C8" w:rsidRPr="002934FE" w:rsidRDefault="008C52C8" w:rsidP="002A7E4B">
            <w:pPr>
              <w:jc w:val="center"/>
              <w:rPr>
                <w:sz w:val="20"/>
                <w:szCs w:val="20"/>
              </w:rPr>
            </w:pPr>
            <w:r w:rsidRPr="002934FE">
              <w:rPr>
                <w:sz w:val="20"/>
                <w:szCs w:val="20"/>
              </w:rPr>
              <w:t>10.</w:t>
            </w:r>
          </w:p>
        </w:tc>
        <w:tc>
          <w:tcPr>
            <w:tcW w:w="1260" w:type="dxa"/>
          </w:tcPr>
          <w:p w14:paraId="0064E5CD" w14:textId="77777777" w:rsidR="008C52C8" w:rsidRPr="002934FE" w:rsidRDefault="008C52C8" w:rsidP="002A7E4B">
            <w:pPr>
              <w:rPr>
                <w:sz w:val="20"/>
                <w:szCs w:val="20"/>
              </w:rPr>
            </w:pPr>
          </w:p>
          <w:p w14:paraId="62835AEF" w14:textId="37E2899C" w:rsidR="008C52C8" w:rsidRPr="002934FE" w:rsidRDefault="008C52C8" w:rsidP="002A7E4B">
            <w:pPr>
              <w:rPr>
                <w:sz w:val="20"/>
                <w:szCs w:val="20"/>
              </w:rPr>
            </w:pPr>
            <w:r w:rsidRPr="002934FE">
              <w:rPr>
                <w:sz w:val="20"/>
                <w:szCs w:val="20"/>
              </w:rPr>
              <w:t>8/6/2024</w:t>
            </w:r>
          </w:p>
        </w:tc>
        <w:tc>
          <w:tcPr>
            <w:tcW w:w="1260" w:type="dxa"/>
          </w:tcPr>
          <w:p w14:paraId="2C86B1AE" w14:textId="77777777" w:rsidR="008C52C8" w:rsidRPr="002934FE" w:rsidRDefault="008C52C8" w:rsidP="002A7E4B">
            <w:pPr>
              <w:rPr>
                <w:sz w:val="20"/>
                <w:szCs w:val="20"/>
              </w:rPr>
            </w:pPr>
          </w:p>
          <w:p w14:paraId="5A9186BA" w14:textId="77777777" w:rsidR="008C52C8" w:rsidRPr="002934FE" w:rsidRDefault="008C52C8" w:rsidP="002A7E4B">
            <w:pPr>
              <w:rPr>
                <w:sz w:val="20"/>
                <w:szCs w:val="20"/>
              </w:rPr>
            </w:pPr>
            <w:r w:rsidRPr="002934FE">
              <w:rPr>
                <w:sz w:val="20"/>
                <w:szCs w:val="20"/>
              </w:rPr>
              <w:t>8/20/2024</w:t>
            </w:r>
          </w:p>
          <w:p w14:paraId="64447EAE" w14:textId="58E66A00" w:rsidR="008C52C8" w:rsidRPr="002934FE" w:rsidRDefault="008C52C8" w:rsidP="002A7E4B">
            <w:pPr>
              <w:rPr>
                <w:sz w:val="20"/>
                <w:szCs w:val="20"/>
              </w:rPr>
            </w:pPr>
          </w:p>
        </w:tc>
        <w:tc>
          <w:tcPr>
            <w:tcW w:w="4680" w:type="dxa"/>
          </w:tcPr>
          <w:p w14:paraId="3169F4A3" w14:textId="77777777" w:rsidR="008C52C8" w:rsidRDefault="008C52C8" w:rsidP="002A7E4B">
            <w:pPr>
              <w:rPr>
                <w:sz w:val="20"/>
                <w:szCs w:val="20"/>
              </w:rPr>
            </w:pPr>
          </w:p>
          <w:p w14:paraId="48DAD6F9" w14:textId="77777777" w:rsidR="00593916" w:rsidRPr="00567443" w:rsidRDefault="00593916" w:rsidP="00593916">
            <w:pPr>
              <w:rPr>
                <w:sz w:val="20"/>
                <w:szCs w:val="20"/>
              </w:rPr>
            </w:pPr>
            <w:r w:rsidRPr="00593916">
              <w:rPr>
                <w:sz w:val="20"/>
                <w:szCs w:val="20"/>
              </w:rPr>
              <w:t>Item 2-G &amp; 2-H in the Proposal Response reference “company specific trends” and “developing</w:t>
            </w:r>
            <w:r>
              <w:rPr>
                <w:sz w:val="20"/>
                <w:szCs w:val="20"/>
              </w:rPr>
              <w:t xml:space="preserve"> </w:t>
            </w:r>
            <w:r w:rsidRPr="00567443">
              <w:rPr>
                <w:sz w:val="20"/>
                <w:szCs w:val="20"/>
              </w:rPr>
              <w:t>comparative trend information…on large employers.” This information does not seem relevant.</w:t>
            </w:r>
          </w:p>
          <w:p w14:paraId="32BCBCB8" w14:textId="77777777" w:rsidR="00593916" w:rsidRPr="002934FE" w:rsidRDefault="00593916" w:rsidP="002A7E4B">
            <w:pPr>
              <w:rPr>
                <w:sz w:val="20"/>
                <w:szCs w:val="20"/>
              </w:rPr>
            </w:pPr>
          </w:p>
        </w:tc>
        <w:tc>
          <w:tcPr>
            <w:tcW w:w="4410" w:type="dxa"/>
          </w:tcPr>
          <w:p w14:paraId="14BC335F" w14:textId="77777777" w:rsidR="008C52C8" w:rsidRDefault="008C52C8" w:rsidP="002A7E4B">
            <w:pPr>
              <w:rPr>
                <w:sz w:val="20"/>
                <w:szCs w:val="20"/>
              </w:rPr>
            </w:pPr>
          </w:p>
          <w:p w14:paraId="130B7FE8" w14:textId="77777777" w:rsidR="00593916" w:rsidRPr="00593916" w:rsidRDefault="00593916" w:rsidP="00593916">
            <w:pPr>
              <w:rPr>
                <w:sz w:val="20"/>
                <w:szCs w:val="20"/>
              </w:rPr>
            </w:pPr>
            <w:r w:rsidRPr="00593916">
              <w:rPr>
                <w:sz w:val="20"/>
                <w:szCs w:val="20"/>
              </w:rPr>
              <w:t xml:space="preserve">There may be times when SCERS will request the actuary’s help in preparing historical trends or comparative information.  Please describe your general process and resources for these types of requests.  </w:t>
            </w:r>
          </w:p>
          <w:p w14:paraId="0DA09AB7" w14:textId="77777777" w:rsidR="00593916" w:rsidRPr="002934FE" w:rsidRDefault="00593916" w:rsidP="002A7E4B">
            <w:pPr>
              <w:rPr>
                <w:sz w:val="20"/>
                <w:szCs w:val="20"/>
              </w:rPr>
            </w:pPr>
          </w:p>
        </w:tc>
        <w:tc>
          <w:tcPr>
            <w:tcW w:w="2065" w:type="dxa"/>
          </w:tcPr>
          <w:p w14:paraId="655C16F9" w14:textId="77777777" w:rsidR="008C52C8" w:rsidRPr="002934FE" w:rsidRDefault="008C52C8" w:rsidP="002A7E4B">
            <w:pPr>
              <w:rPr>
                <w:sz w:val="20"/>
                <w:szCs w:val="20"/>
                <w:highlight w:val="yellow"/>
              </w:rPr>
            </w:pPr>
          </w:p>
        </w:tc>
      </w:tr>
      <w:tr w:rsidR="008C52C8" w:rsidRPr="002934FE" w14:paraId="16073165" w14:textId="77777777" w:rsidTr="64BAFC01">
        <w:tc>
          <w:tcPr>
            <w:tcW w:w="715" w:type="dxa"/>
          </w:tcPr>
          <w:p w14:paraId="438C4ED7" w14:textId="77777777" w:rsidR="008C52C8" w:rsidRPr="002934FE" w:rsidRDefault="008C52C8" w:rsidP="002A7E4B">
            <w:pPr>
              <w:jc w:val="center"/>
              <w:rPr>
                <w:sz w:val="20"/>
                <w:szCs w:val="20"/>
              </w:rPr>
            </w:pPr>
          </w:p>
          <w:p w14:paraId="0521E6C3" w14:textId="05D87DCA" w:rsidR="008C52C8" w:rsidRPr="002934FE" w:rsidRDefault="008C52C8" w:rsidP="002A7E4B">
            <w:pPr>
              <w:jc w:val="center"/>
              <w:rPr>
                <w:sz w:val="20"/>
                <w:szCs w:val="20"/>
              </w:rPr>
            </w:pPr>
            <w:r w:rsidRPr="002934FE">
              <w:rPr>
                <w:sz w:val="20"/>
                <w:szCs w:val="20"/>
              </w:rPr>
              <w:t>11.</w:t>
            </w:r>
          </w:p>
        </w:tc>
        <w:tc>
          <w:tcPr>
            <w:tcW w:w="1260" w:type="dxa"/>
          </w:tcPr>
          <w:p w14:paraId="09D9FB37" w14:textId="77777777" w:rsidR="008C52C8" w:rsidRPr="002934FE" w:rsidRDefault="008C52C8" w:rsidP="002A7E4B">
            <w:pPr>
              <w:rPr>
                <w:sz w:val="20"/>
                <w:szCs w:val="20"/>
              </w:rPr>
            </w:pPr>
          </w:p>
          <w:p w14:paraId="009E7BD1" w14:textId="1097CB95" w:rsidR="008C52C8" w:rsidRPr="002934FE" w:rsidRDefault="008C52C8" w:rsidP="002A7E4B">
            <w:pPr>
              <w:rPr>
                <w:sz w:val="20"/>
                <w:szCs w:val="20"/>
              </w:rPr>
            </w:pPr>
            <w:r w:rsidRPr="002934FE">
              <w:rPr>
                <w:sz w:val="20"/>
                <w:szCs w:val="20"/>
              </w:rPr>
              <w:t>8/6/2024</w:t>
            </w:r>
          </w:p>
        </w:tc>
        <w:tc>
          <w:tcPr>
            <w:tcW w:w="1260" w:type="dxa"/>
          </w:tcPr>
          <w:p w14:paraId="37B2B172" w14:textId="77777777" w:rsidR="008C52C8" w:rsidRPr="002934FE" w:rsidRDefault="008C52C8" w:rsidP="002A7E4B">
            <w:pPr>
              <w:rPr>
                <w:sz w:val="20"/>
                <w:szCs w:val="20"/>
              </w:rPr>
            </w:pPr>
          </w:p>
          <w:p w14:paraId="5B00C483" w14:textId="7DD2B3C2" w:rsidR="008C52C8" w:rsidRPr="002934FE" w:rsidRDefault="008C52C8" w:rsidP="002A7E4B">
            <w:pPr>
              <w:rPr>
                <w:sz w:val="20"/>
                <w:szCs w:val="20"/>
              </w:rPr>
            </w:pPr>
            <w:r w:rsidRPr="002934FE">
              <w:rPr>
                <w:sz w:val="20"/>
                <w:szCs w:val="20"/>
              </w:rPr>
              <w:t>8/20/2024</w:t>
            </w:r>
          </w:p>
        </w:tc>
        <w:tc>
          <w:tcPr>
            <w:tcW w:w="4680" w:type="dxa"/>
          </w:tcPr>
          <w:p w14:paraId="77B596AE" w14:textId="77777777" w:rsidR="008C52C8" w:rsidRDefault="008C52C8" w:rsidP="002A7E4B">
            <w:pPr>
              <w:rPr>
                <w:sz w:val="20"/>
                <w:szCs w:val="20"/>
              </w:rPr>
            </w:pPr>
          </w:p>
          <w:p w14:paraId="0C627F49" w14:textId="77777777" w:rsidR="00593916" w:rsidRPr="00593916" w:rsidRDefault="00593916" w:rsidP="00593916">
            <w:pPr>
              <w:rPr>
                <w:sz w:val="20"/>
                <w:szCs w:val="20"/>
              </w:rPr>
            </w:pPr>
            <w:r w:rsidRPr="00593916">
              <w:rPr>
                <w:sz w:val="20"/>
                <w:szCs w:val="20"/>
              </w:rPr>
              <w:t xml:space="preserve">Please provide the fees for these services paid over the last five years. If possible, please split these fees between retainer and special projects. </w:t>
            </w:r>
          </w:p>
          <w:p w14:paraId="477FA949" w14:textId="14879112" w:rsidR="00593916" w:rsidRPr="002934FE" w:rsidRDefault="00593916" w:rsidP="002A7E4B">
            <w:pPr>
              <w:rPr>
                <w:sz w:val="20"/>
                <w:szCs w:val="20"/>
              </w:rPr>
            </w:pPr>
          </w:p>
        </w:tc>
        <w:tc>
          <w:tcPr>
            <w:tcW w:w="4410" w:type="dxa"/>
          </w:tcPr>
          <w:p w14:paraId="5F863075" w14:textId="77777777" w:rsidR="008C52C8" w:rsidRDefault="008C52C8" w:rsidP="002A7E4B">
            <w:pPr>
              <w:rPr>
                <w:sz w:val="20"/>
                <w:szCs w:val="20"/>
              </w:rPr>
            </w:pPr>
          </w:p>
          <w:p w14:paraId="39FDED9E" w14:textId="77777777" w:rsidR="00593916" w:rsidRPr="00593916" w:rsidRDefault="00593916" w:rsidP="00593916">
            <w:pPr>
              <w:rPr>
                <w:sz w:val="20"/>
                <w:szCs w:val="20"/>
              </w:rPr>
            </w:pPr>
            <w:r w:rsidRPr="00593916">
              <w:rPr>
                <w:sz w:val="20"/>
                <w:szCs w:val="20"/>
              </w:rPr>
              <w:t xml:space="preserve">SCERS paid the following amounts for actuarial services over the last five years:                2019 = $75,177, 2020 = 61,750, 2021 = $69,600, 2022 = 92,327, and 2023 = $84,500. </w:t>
            </w:r>
          </w:p>
          <w:p w14:paraId="5D919C91" w14:textId="77777777" w:rsidR="00593916" w:rsidRPr="00593916" w:rsidRDefault="00593916" w:rsidP="00593916">
            <w:pPr>
              <w:rPr>
                <w:sz w:val="20"/>
                <w:szCs w:val="20"/>
              </w:rPr>
            </w:pPr>
            <w:r w:rsidRPr="00593916">
              <w:rPr>
                <w:sz w:val="20"/>
                <w:szCs w:val="20"/>
              </w:rPr>
              <w:t xml:space="preserve">We do not have the cost of special projects recorded separately in our financial system.                </w:t>
            </w:r>
          </w:p>
          <w:p w14:paraId="078E36B5" w14:textId="77777777" w:rsidR="00593916" w:rsidRPr="002934FE" w:rsidRDefault="00593916" w:rsidP="002A7E4B">
            <w:pPr>
              <w:rPr>
                <w:sz w:val="20"/>
                <w:szCs w:val="20"/>
              </w:rPr>
            </w:pPr>
          </w:p>
        </w:tc>
        <w:tc>
          <w:tcPr>
            <w:tcW w:w="2065" w:type="dxa"/>
          </w:tcPr>
          <w:p w14:paraId="75D5616B" w14:textId="77777777" w:rsidR="008C52C8" w:rsidRPr="002934FE" w:rsidRDefault="008C52C8" w:rsidP="002A7E4B">
            <w:pPr>
              <w:rPr>
                <w:sz w:val="20"/>
                <w:szCs w:val="20"/>
                <w:highlight w:val="yellow"/>
              </w:rPr>
            </w:pPr>
          </w:p>
        </w:tc>
      </w:tr>
      <w:tr w:rsidR="00052C88" w:rsidRPr="002934FE" w14:paraId="548CE6A7" w14:textId="77777777" w:rsidTr="64BAFC01">
        <w:tc>
          <w:tcPr>
            <w:tcW w:w="715" w:type="dxa"/>
          </w:tcPr>
          <w:p w14:paraId="1C518337" w14:textId="77777777" w:rsidR="00052C88" w:rsidRPr="002934FE" w:rsidRDefault="00052C88" w:rsidP="002A7E4B">
            <w:pPr>
              <w:jc w:val="center"/>
              <w:rPr>
                <w:sz w:val="20"/>
                <w:szCs w:val="20"/>
              </w:rPr>
            </w:pPr>
          </w:p>
          <w:p w14:paraId="47E58D29" w14:textId="741BF24F" w:rsidR="00052C88" w:rsidRPr="002934FE" w:rsidRDefault="00052C88" w:rsidP="002A7E4B">
            <w:pPr>
              <w:jc w:val="center"/>
              <w:rPr>
                <w:sz w:val="20"/>
                <w:szCs w:val="20"/>
              </w:rPr>
            </w:pPr>
            <w:r w:rsidRPr="002934FE">
              <w:rPr>
                <w:sz w:val="20"/>
                <w:szCs w:val="20"/>
              </w:rPr>
              <w:t>12.</w:t>
            </w:r>
          </w:p>
        </w:tc>
        <w:tc>
          <w:tcPr>
            <w:tcW w:w="1260" w:type="dxa"/>
          </w:tcPr>
          <w:p w14:paraId="7824C2AC" w14:textId="77777777" w:rsidR="00052C88" w:rsidRPr="002934FE" w:rsidRDefault="00052C88" w:rsidP="002A7E4B">
            <w:pPr>
              <w:rPr>
                <w:sz w:val="20"/>
                <w:szCs w:val="20"/>
              </w:rPr>
            </w:pPr>
          </w:p>
          <w:p w14:paraId="4C653B41" w14:textId="567354F6" w:rsidR="00052C88" w:rsidRPr="002934FE" w:rsidRDefault="00052C88" w:rsidP="002A7E4B">
            <w:pPr>
              <w:rPr>
                <w:sz w:val="20"/>
                <w:szCs w:val="20"/>
              </w:rPr>
            </w:pPr>
            <w:r w:rsidRPr="002934FE">
              <w:rPr>
                <w:sz w:val="20"/>
                <w:szCs w:val="20"/>
              </w:rPr>
              <w:t>8/6/2024</w:t>
            </w:r>
          </w:p>
        </w:tc>
        <w:tc>
          <w:tcPr>
            <w:tcW w:w="1260" w:type="dxa"/>
          </w:tcPr>
          <w:p w14:paraId="0F46AD46" w14:textId="77777777" w:rsidR="00052C88" w:rsidRPr="002934FE" w:rsidRDefault="00052C88" w:rsidP="002A7E4B">
            <w:pPr>
              <w:rPr>
                <w:sz w:val="20"/>
                <w:szCs w:val="20"/>
              </w:rPr>
            </w:pPr>
          </w:p>
          <w:p w14:paraId="78666447" w14:textId="77777777" w:rsidR="00052C88" w:rsidRPr="002934FE" w:rsidRDefault="00052C88" w:rsidP="002A7E4B">
            <w:pPr>
              <w:rPr>
                <w:sz w:val="20"/>
                <w:szCs w:val="20"/>
              </w:rPr>
            </w:pPr>
            <w:r w:rsidRPr="002934FE">
              <w:rPr>
                <w:sz w:val="20"/>
                <w:szCs w:val="20"/>
              </w:rPr>
              <w:t>8/20/2024</w:t>
            </w:r>
          </w:p>
          <w:p w14:paraId="629F12E3" w14:textId="2692B700" w:rsidR="00052C88" w:rsidRPr="002934FE" w:rsidRDefault="00052C88" w:rsidP="002A7E4B">
            <w:pPr>
              <w:rPr>
                <w:sz w:val="20"/>
                <w:szCs w:val="20"/>
              </w:rPr>
            </w:pPr>
          </w:p>
        </w:tc>
        <w:tc>
          <w:tcPr>
            <w:tcW w:w="4680" w:type="dxa"/>
          </w:tcPr>
          <w:p w14:paraId="6180D485" w14:textId="77777777" w:rsidR="00052C88" w:rsidRDefault="00052C88" w:rsidP="002A7E4B">
            <w:pPr>
              <w:rPr>
                <w:sz w:val="20"/>
                <w:szCs w:val="20"/>
              </w:rPr>
            </w:pPr>
          </w:p>
          <w:p w14:paraId="2665D347" w14:textId="77777777" w:rsidR="00593916" w:rsidRPr="00593916" w:rsidRDefault="00593916" w:rsidP="00593916">
            <w:pPr>
              <w:rPr>
                <w:sz w:val="20"/>
                <w:szCs w:val="20"/>
              </w:rPr>
            </w:pPr>
            <w:r w:rsidRPr="00593916">
              <w:rPr>
                <w:sz w:val="20"/>
                <w:szCs w:val="20"/>
              </w:rPr>
              <w:t>Please clarify the following minimum requirement, especially if security is provided through a parent organization, “</w:t>
            </w:r>
            <w:r w:rsidRPr="00593916">
              <w:rPr>
                <w:i/>
                <w:iCs/>
                <w:sz w:val="20"/>
                <w:szCs w:val="20"/>
              </w:rPr>
              <w:t xml:space="preserve">The Consultant must provide evidence of sufficient controls and security of its system and data confidentiality and privacy (such as a SOC 2 Report).”  </w:t>
            </w:r>
          </w:p>
          <w:p w14:paraId="0BA48C59" w14:textId="77777777" w:rsidR="00593916" w:rsidRPr="002934FE" w:rsidRDefault="00593916" w:rsidP="002A7E4B">
            <w:pPr>
              <w:rPr>
                <w:sz w:val="20"/>
                <w:szCs w:val="20"/>
              </w:rPr>
            </w:pPr>
          </w:p>
        </w:tc>
        <w:tc>
          <w:tcPr>
            <w:tcW w:w="4410" w:type="dxa"/>
          </w:tcPr>
          <w:p w14:paraId="30612D0C" w14:textId="77777777" w:rsidR="00052C88" w:rsidRDefault="00052C88" w:rsidP="002A7E4B">
            <w:pPr>
              <w:rPr>
                <w:sz w:val="20"/>
                <w:szCs w:val="20"/>
              </w:rPr>
            </w:pPr>
          </w:p>
          <w:p w14:paraId="24BC9464" w14:textId="77777777" w:rsidR="00593916" w:rsidRPr="00593916" w:rsidRDefault="00593916" w:rsidP="00593916">
            <w:pPr>
              <w:rPr>
                <w:sz w:val="20"/>
                <w:szCs w:val="20"/>
              </w:rPr>
            </w:pPr>
            <w:r w:rsidRPr="00593916">
              <w:rPr>
                <w:sz w:val="20"/>
                <w:szCs w:val="20"/>
              </w:rPr>
              <w:t xml:space="preserve">If you are selected as a finalist, your company will be required to provide a full ISO27001 SOC2 type ii audit report that covers/identifies the systems that are processing and storing SCERS’s data.  If the systems used are covered by the parent company report, then they will need to provide that report. </w:t>
            </w:r>
          </w:p>
          <w:p w14:paraId="71958496" w14:textId="77777777" w:rsidR="00593916" w:rsidRPr="002934FE" w:rsidRDefault="00593916" w:rsidP="00593916">
            <w:pPr>
              <w:rPr>
                <w:sz w:val="20"/>
                <w:szCs w:val="20"/>
              </w:rPr>
            </w:pPr>
          </w:p>
          <w:p w14:paraId="42A8EBCD" w14:textId="77777777" w:rsidR="00593916" w:rsidRPr="002934FE" w:rsidRDefault="00593916" w:rsidP="002A7E4B">
            <w:pPr>
              <w:rPr>
                <w:sz w:val="20"/>
                <w:szCs w:val="20"/>
              </w:rPr>
            </w:pPr>
          </w:p>
        </w:tc>
        <w:tc>
          <w:tcPr>
            <w:tcW w:w="2065" w:type="dxa"/>
          </w:tcPr>
          <w:p w14:paraId="656AFD86" w14:textId="77777777" w:rsidR="00052C88" w:rsidRPr="002934FE" w:rsidRDefault="00052C88" w:rsidP="002A7E4B">
            <w:pPr>
              <w:rPr>
                <w:sz w:val="20"/>
                <w:szCs w:val="20"/>
                <w:highlight w:val="yellow"/>
              </w:rPr>
            </w:pPr>
          </w:p>
        </w:tc>
      </w:tr>
    </w:tbl>
    <w:p w14:paraId="37ED73C9" w14:textId="77777777" w:rsidR="004017E5" w:rsidRPr="00567443" w:rsidRDefault="004017E5" w:rsidP="004017E5">
      <w:pPr>
        <w:pStyle w:val="ListParagraph"/>
        <w:ind w:left="360"/>
        <w:rPr>
          <w:sz w:val="20"/>
          <w:szCs w:val="20"/>
        </w:rPr>
      </w:pPr>
    </w:p>
    <w:p w14:paraId="5D9FBA3E" w14:textId="77777777" w:rsidR="004017E5" w:rsidRPr="00567443" w:rsidRDefault="004017E5" w:rsidP="004017E5">
      <w:pPr>
        <w:pStyle w:val="ListParagraph"/>
        <w:ind w:left="360"/>
        <w:rPr>
          <w:sz w:val="20"/>
          <w:szCs w:val="20"/>
        </w:rPr>
      </w:pPr>
    </w:p>
    <w:sectPr w:rsidR="004017E5" w:rsidRPr="00567443" w:rsidSect="0093043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9F3"/>
    <w:multiLevelType w:val="hybridMultilevel"/>
    <w:tmpl w:val="0B96D7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107C19"/>
    <w:multiLevelType w:val="hybridMultilevel"/>
    <w:tmpl w:val="17BC105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277654C"/>
    <w:multiLevelType w:val="hybridMultilevel"/>
    <w:tmpl w:val="AEA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100DA"/>
    <w:multiLevelType w:val="hybridMultilevel"/>
    <w:tmpl w:val="D1D0A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3027B8"/>
    <w:multiLevelType w:val="hybridMultilevel"/>
    <w:tmpl w:val="030680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FFC30E2"/>
    <w:multiLevelType w:val="hybridMultilevel"/>
    <w:tmpl w:val="67D4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841FD"/>
    <w:multiLevelType w:val="hybridMultilevel"/>
    <w:tmpl w:val="2F88C51E"/>
    <w:lvl w:ilvl="0" w:tplc="1A54578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CE059A"/>
    <w:multiLevelType w:val="multilevel"/>
    <w:tmpl w:val="825C70A0"/>
    <w:lvl w:ilvl="0">
      <w:start w:val="1"/>
      <w:numFmt w:val="decimal"/>
      <w:lvlText w:val="%1."/>
      <w:lvlJc w:val="left"/>
      <w:pPr>
        <w:ind w:left="108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4D61790"/>
    <w:multiLevelType w:val="hybridMultilevel"/>
    <w:tmpl w:val="6284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78242">
    <w:abstractNumId w:val="2"/>
  </w:num>
  <w:num w:numId="2" w16cid:durableId="1381638227">
    <w:abstractNumId w:val="4"/>
  </w:num>
  <w:num w:numId="3" w16cid:durableId="1747067568">
    <w:abstractNumId w:val="8"/>
  </w:num>
  <w:num w:numId="4" w16cid:durableId="1160459444">
    <w:abstractNumId w:val="3"/>
  </w:num>
  <w:num w:numId="5" w16cid:durableId="2090881697">
    <w:abstractNumId w:val="5"/>
  </w:num>
  <w:num w:numId="6" w16cid:durableId="486866990">
    <w:abstractNumId w:val="1"/>
    <w:lvlOverride w:ilvl="0">
      <w:startOverride w:val="1"/>
    </w:lvlOverride>
    <w:lvlOverride w:ilvl="1"/>
    <w:lvlOverride w:ilvl="2"/>
    <w:lvlOverride w:ilvl="3"/>
    <w:lvlOverride w:ilvl="4"/>
    <w:lvlOverride w:ilvl="5"/>
    <w:lvlOverride w:ilvl="6"/>
    <w:lvlOverride w:ilvl="7"/>
    <w:lvlOverride w:ilvl="8"/>
  </w:num>
  <w:num w:numId="7" w16cid:durableId="229775023">
    <w:abstractNumId w:val="6"/>
  </w:num>
  <w:num w:numId="8" w16cid:durableId="1578051115">
    <w:abstractNumId w:val="0"/>
  </w:num>
  <w:num w:numId="9" w16cid:durableId="37712286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39"/>
    <w:rsid w:val="00001015"/>
    <w:rsid w:val="00011208"/>
    <w:rsid w:val="00011A3E"/>
    <w:rsid w:val="00035703"/>
    <w:rsid w:val="0003639F"/>
    <w:rsid w:val="000410FE"/>
    <w:rsid w:val="0004215E"/>
    <w:rsid w:val="00052C88"/>
    <w:rsid w:val="00054798"/>
    <w:rsid w:val="00074B37"/>
    <w:rsid w:val="0008280B"/>
    <w:rsid w:val="00090C05"/>
    <w:rsid w:val="00093C2F"/>
    <w:rsid w:val="000974CA"/>
    <w:rsid w:val="000A69E1"/>
    <w:rsid w:val="000B1F02"/>
    <w:rsid w:val="000B380A"/>
    <w:rsid w:val="000B7E24"/>
    <w:rsid w:val="000B7E38"/>
    <w:rsid w:val="000C1F20"/>
    <w:rsid w:val="000E538C"/>
    <w:rsid w:val="00107890"/>
    <w:rsid w:val="00107D0B"/>
    <w:rsid w:val="00110CEB"/>
    <w:rsid w:val="00111F21"/>
    <w:rsid w:val="00116EB0"/>
    <w:rsid w:val="0013481E"/>
    <w:rsid w:val="00135723"/>
    <w:rsid w:val="001377DB"/>
    <w:rsid w:val="00140FE6"/>
    <w:rsid w:val="00141731"/>
    <w:rsid w:val="00145D59"/>
    <w:rsid w:val="00151A51"/>
    <w:rsid w:val="00152115"/>
    <w:rsid w:val="0015557F"/>
    <w:rsid w:val="001669BC"/>
    <w:rsid w:val="00175D34"/>
    <w:rsid w:val="00195C4E"/>
    <w:rsid w:val="001A6EB1"/>
    <w:rsid w:val="001E70E8"/>
    <w:rsid w:val="00211F3A"/>
    <w:rsid w:val="00213E99"/>
    <w:rsid w:val="00215478"/>
    <w:rsid w:val="00221C63"/>
    <w:rsid w:val="00232208"/>
    <w:rsid w:val="002326DB"/>
    <w:rsid w:val="00235102"/>
    <w:rsid w:val="002359FE"/>
    <w:rsid w:val="00236934"/>
    <w:rsid w:val="00262D37"/>
    <w:rsid w:val="00264806"/>
    <w:rsid w:val="002722F2"/>
    <w:rsid w:val="00275EB2"/>
    <w:rsid w:val="002934FE"/>
    <w:rsid w:val="002A2875"/>
    <w:rsid w:val="002A6B3C"/>
    <w:rsid w:val="002A7E4B"/>
    <w:rsid w:val="002B1B3E"/>
    <w:rsid w:val="002B33B1"/>
    <w:rsid w:val="002B69AD"/>
    <w:rsid w:val="002B6C5D"/>
    <w:rsid w:val="002C01C6"/>
    <w:rsid w:val="002D74B2"/>
    <w:rsid w:val="002D7C30"/>
    <w:rsid w:val="002E0513"/>
    <w:rsid w:val="002E4ADA"/>
    <w:rsid w:val="002E5B0C"/>
    <w:rsid w:val="00316E6F"/>
    <w:rsid w:val="00331A78"/>
    <w:rsid w:val="00341EBF"/>
    <w:rsid w:val="00352856"/>
    <w:rsid w:val="00356D1E"/>
    <w:rsid w:val="00363B55"/>
    <w:rsid w:val="00363BD5"/>
    <w:rsid w:val="00373F0A"/>
    <w:rsid w:val="003807A9"/>
    <w:rsid w:val="003826FE"/>
    <w:rsid w:val="003835C3"/>
    <w:rsid w:val="003879CD"/>
    <w:rsid w:val="00391828"/>
    <w:rsid w:val="00394DB2"/>
    <w:rsid w:val="003A6366"/>
    <w:rsid w:val="003B760E"/>
    <w:rsid w:val="003D1409"/>
    <w:rsid w:val="003D2559"/>
    <w:rsid w:val="003E537F"/>
    <w:rsid w:val="003E6B69"/>
    <w:rsid w:val="003E7A3E"/>
    <w:rsid w:val="003F22CA"/>
    <w:rsid w:val="003F3252"/>
    <w:rsid w:val="004017E5"/>
    <w:rsid w:val="004057B3"/>
    <w:rsid w:val="004060AE"/>
    <w:rsid w:val="00416D0A"/>
    <w:rsid w:val="004270CF"/>
    <w:rsid w:val="004275A4"/>
    <w:rsid w:val="004333ED"/>
    <w:rsid w:val="0047667C"/>
    <w:rsid w:val="00477481"/>
    <w:rsid w:val="00480177"/>
    <w:rsid w:val="004914D0"/>
    <w:rsid w:val="004A1B38"/>
    <w:rsid w:val="004B2244"/>
    <w:rsid w:val="004C52E1"/>
    <w:rsid w:val="004E5107"/>
    <w:rsid w:val="004F7BD8"/>
    <w:rsid w:val="005210DC"/>
    <w:rsid w:val="005275C1"/>
    <w:rsid w:val="00530B0E"/>
    <w:rsid w:val="00530EDE"/>
    <w:rsid w:val="0053508C"/>
    <w:rsid w:val="00540364"/>
    <w:rsid w:val="0054294F"/>
    <w:rsid w:val="00551B13"/>
    <w:rsid w:val="005571DD"/>
    <w:rsid w:val="00557AE7"/>
    <w:rsid w:val="00561A24"/>
    <w:rsid w:val="00571629"/>
    <w:rsid w:val="0057343D"/>
    <w:rsid w:val="0057687A"/>
    <w:rsid w:val="00582124"/>
    <w:rsid w:val="00583D0D"/>
    <w:rsid w:val="00590D54"/>
    <w:rsid w:val="00593916"/>
    <w:rsid w:val="0059395C"/>
    <w:rsid w:val="00594701"/>
    <w:rsid w:val="00595317"/>
    <w:rsid w:val="005A1598"/>
    <w:rsid w:val="005A20CE"/>
    <w:rsid w:val="005A2586"/>
    <w:rsid w:val="005B5156"/>
    <w:rsid w:val="005C08E0"/>
    <w:rsid w:val="005C20EF"/>
    <w:rsid w:val="005C52D8"/>
    <w:rsid w:val="005D0026"/>
    <w:rsid w:val="005E0149"/>
    <w:rsid w:val="005E26C9"/>
    <w:rsid w:val="005E3091"/>
    <w:rsid w:val="005F7513"/>
    <w:rsid w:val="00606134"/>
    <w:rsid w:val="006067BF"/>
    <w:rsid w:val="00612EF9"/>
    <w:rsid w:val="00613F49"/>
    <w:rsid w:val="00614BFB"/>
    <w:rsid w:val="00616DA0"/>
    <w:rsid w:val="00627746"/>
    <w:rsid w:val="0063089C"/>
    <w:rsid w:val="00631E61"/>
    <w:rsid w:val="00642FA1"/>
    <w:rsid w:val="00650160"/>
    <w:rsid w:val="00653310"/>
    <w:rsid w:val="00667CBE"/>
    <w:rsid w:val="006729BF"/>
    <w:rsid w:val="00674BAC"/>
    <w:rsid w:val="00683E6B"/>
    <w:rsid w:val="006849B4"/>
    <w:rsid w:val="006944E7"/>
    <w:rsid w:val="006949AD"/>
    <w:rsid w:val="006B29B2"/>
    <w:rsid w:val="006B5AFD"/>
    <w:rsid w:val="006C1842"/>
    <w:rsid w:val="006C2658"/>
    <w:rsid w:val="006C2FAC"/>
    <w:rsid w:val="006D208D"/>
    <w:rsid w:val="006D221E"/>
    <w:rsid w:val="006D3179"/>
    <w:rsid w:val="006E1264"/>
    <w:rsid w:val="006E1A4A"/>
    <w:rsid w:val="006E55A2"/>
    <w:rsid w:val="006F3C90"/>
    <w:rsid w:val="006F545E"/>
    <w:rsid w:val="006F5BB3"/>
    <w:rsid w:val="007002A1"/>
    <w:rsid w:val="0070273E"/>
    <w:rsid w:val="00704BD9"/>
    <w:rsid w:val="007157E6"/>
    <w:rsid w:val="00716903"/>
    <w:rsid w:val="00722AA7"/>
    <w:rsid w:val="007332E4"/>
    <w:rsid w:val="007469FF"/>
    <w:rsid w:val="00746C7F"/>
    <w:rsid w:val="00752806"/>
    <w:rsid w:val="00752DE5"/>
    <w:rsid w:val="00757872"/>
    <w:rsid w:val="00760F9B"/>
    <w:rsid w:val="00762F14"/>
    <w:rsid w:val="0078005A"/>
    <w:rsid w:val="00786B31"/>
    <w:rsid w:val="007932FB"/>
    <w:rsid w:val="00794AD7"/>
    <w:rsid w:val="00796CD0"/>
    <w:rsid w:val="007A31E3"/>
    <w:rsid w:val="007A4238"/>
    <w:rsid w:val="007A721E"/>
    <w:rsid w:val="007C08ED"/>
    <w:rsid w:val="007C510B"/>
    <w:rsid w:val="007E1B37"/>
    <w:rsid w:val="007F35B8"/>
    <w:rsid w:val="007F65BF"/>
    <w:rsid w:val="008051EE"/>
    <w:rsid w:val="008078A7"/>
    <w:rsid w:val="00817EB1"/>
    <w:rsid w:val="00824B22"/>
    <w:rsid w:val="00833D1E"/>
    <w:rsid w:val="00835291"/>
    <w:rsid w:val="00846D4F"/>
    <w:rsid w:val="00853072"/>
    <w:rsid w:val="00857839"/>
    <w:rsid w:val="00866EFA"/>
    <w:rsid w:val="00867331"/>
    <w:rsid w:val="008840E6"/>
    <w:rsid w:val="00895FD6"/>
    <w:rsid w:val="0089616F"/>
    <w:rsid w:val="008A5E42"/>
    <w:rsid w:val="008A71A1"/>
    <w:rsid w:val="008B0F3A"/>
    <w:rsid w:val="008C123D"/>
    <w:rsid w:val="008C32EE"/>
    <w:rsid w:val="008C52C8"/>
    <w:rsid w:val="008C592F"/>
    <w:rsid w:val="008D1E37"/>
    <w:rsid w:val="008D4125"/>
    <w:rsid w:val="008D7D52"/>
    <w:rsid w:val="008F0294"/>
    <w:rsid w:val="008F740F"/>
    <w:rsid w:val="009010AC"/>
    <w:rsid w:val="00911B07"/>
    <w:rsid w:val="00916F6D"/>
    <w:rsid w:val="009174A4"/>
    <w:rsid w:val="00917E39"/>
    <w:rsid w:val="0093043E"/>
    <w:rsid w:val="00952944"/>
    <w:rsid w:val="00960E80"/>
    <w:rsid w:val="00972B34"/>
    <w:rsid w:val="009742E0"/>
    <w:rsid w:val="00983B91"/>
    <w:rsid w:val="00984D22"/>
    <w:rsid w:val="00995E92"/>
    <w:rsid w:val="00997173"/>
    <w:rsid w:val="0099756D"/>
    <w:rsid w:val="009A7B29"/>
    <w:rsid w:val="009B5413"/>
    <w:rsid w:val="009C3DBA"/>
    <w:rsid w:val="009C7CE2"/>
    <w:rsid w:val="009F7F72"/>
    <w:rsid w:val="00A007EE"/>
    <w:rsid w:val="00A10D41"/>
    <w:rsid w:val="00A11A15"/>
    <w:rsid w:val="00A23FCC"/>
    <w:rsid w:val="00A3327B"/>
    <w:rsid w:val="00A4286D"/>
    <w:rsid w:val="00A45FEF"/>
    <w:rsid w:val="00AA1FD3"/>
    <w:rsid w:val="00AA7EA3"/>
    <w:rsid w:val="00AD4D76"/>
    <w:rsid w:val="00AD7A6E"/>
    <w:rsid w:val="00AE1F19"/>
    <w:rsid w:val="00AE2CEB"/>
    <w:rsid w:val="00AF097F"/>
    <w:rsid w:val="00AF0A84"/>
    <w:rsid w:val="00AF71C4"/>
    <w:rsid w:val="00B00F9F"/>
    <w:rsid w:val="00B036B2"/>
    <w:rsid w:val="00B1285C"/>
    <w:rsid w:val="00B20423"/>
    <w:rsid w:val="00B36DA7"/>
    <w:rsid w:val="00B40748"/>
    <w:rsid w:val="00B4721E"/>
    <w:rsid w:val="00B5466D"/>
    <w:rsid w:val="00B578A0"/>
    <w:rsid w:val="00B67310"/>
    <w:rsid w:val="00B72DEA"/>
    <w:rsid w:val="00BA3F0D"/>
    <w:rsid w:val="00BA496A"/>
    <w:rsid w:val="00BB2C8B"/>
    <w:rsid w:val="00BB45E2"/>
    <w:rsid w:val="00BE1526"/>
    <w:rsid w:val="00C0125A"/>
    <w:rsid w:val="00C20682"/>
    <w:rsid w:val="00C370EB"/>
    <w:rsid w:val="00C43E3E"/>
    <w:rsid w:val="00C55E9E"/>
    <w:rsid w:val="00C6395C"/>
    <w:rsid w:val="00C67F66"/>
    <w:rsid w:val="00C72694"/>
    <w:rsid w:val="00C94A57"/>
    <w:rsid w:val="00C95E12"/>
    <w:rsid w:val="00CA1980"/>
    <w:rsid w:val="00CA372E"/>
    <w:rsid w:val="00CA726A"/>
    <w:rsid w:val="00CB00BA"/>
    <w:rsid w:val="00CB6840"/>
    <w:rsid w:val="00CC4E5A"/>
    <w:rsid w:val="00CD2C5B"/>
    <w:rsid w:val="00CD352E"/>
    <w:rsid w:val="00CD4E41"/>
    <w:rsid w:val="00CD7BC5"/>
    <w:rsid w:val="00CE0519"/>
    <w:rsid w:val="00CE56BA"/>
    <w:rsid w:val="00CE58EB"/>
    <w:rsid w:val="00D03D48"/>
    <w:rsid w:val="00D1079E"/>
    <w:rsid w:val="00D108CE"/>
    <w:rsid w:val="00D11772"/>
    <w:rsid w:val="00D25E48"/>
    <w:rsid w:val="00D3031F"/>
    <w:rsid w:val="00D31020"/>
    <w:rsid w:val="00D50372"/>
    <w:rsid w:val="00D67302"/>
    <w:rsid w:val="00D70651"/>
    <w:rsid w:val="00D70C95"/>
    <w:rsid w:val="00D770B6"/>
    <w:rsid w:val="00D8242E"/>
    <w:rsid w:val="00D90CC0"/>
    <w:rsid w:val="00D9420F"/>
    <w:rsid w:val="00DA612F"/>
    <w:rsid w:val="00DA630D"/>
    <w:rsid w:val="00DD49B7"/>
    <w:rsid w:val="00DD625A"/>
    <w:rsid w:val="00DD6956"/>
    <w:rsid w:val="00DE098F"/>
    <w:rsid w:val="00DE4F07"/>
    <w:rsid w:val="00E211D3"/>
    <w:rsid w:val="00E23C6A"/>
    <w:rsid w:val="00E273D6"/>
    <w:rsid w:val="00E35649"/>
    <w:rsid w:val="00E36C24"/>
    <w:rsid w:val="00E47247"/>
    <w:rsid w:val="00E722D0"/>
    <w:rsid w:val="00E725C3"/>
    <w:rsid w:val="00E874EE"/>
    <w:rsid w:val="00E9217D"/>
    <w:rsid w:val="00EB1FFA"/>
    <w:rsid w:val="00EB67AE"/>
    <w:rsid w:val="00EB6891"/>
    <w:rsid w:val="00EC3BCD"/>
    <w:rsid w:val="00EC7970"/>
    <w:rsid w:val="00EE1F84"/>
    <w:rsid w:val="00EE6EC5"/>
    <w:rsid w:val="00EE9FDA"/>
    <w:rsid w:val="00EF46B4"/>
    <w:rsid w:val="00EF7F00"/>
    <w:rsid w:val="00F074E7"/>
    <w:rsid w:val="00F07C59"/>
    <w:rsid w:val="00F136ED"/>
    <w:rsid w:val="00F14095"/>
    <w:rsid w:val="00F16430"/>
    <w:rsid w:val="00F20C1B"/>
    <w:rsid w:val="00F24828"/>
    <w:rsid w:val="00F34334"/>
    <w:rsid w:val="00F35981"/>
    <w:rsid w:val="00F4591A"/>
    <w:rsid w:val="00F562EC"/>
    <w:rsid w:val="00F75A48"/>
    <w:rsid w:val="00F85408"/>
    <w:rsid w:val="00F96D64"/>
    <w:rsid w:val="00FA647C"/>
    <w:rsid w:val="00FB11FC"/>
    <w:rsid w:val="00FB2654"/>
    <w:rsid w:val="00FB2747"/>
    <w:rsid w:val="00FC4D1B"/>
    <w:rsid w:val="00FC5C2F"/>
    <w:rsid w:val="00FC79CC"/>
    <w:rsid w:val="00FD783D"/>
    <w:rsid w:val="00FE706B"/>
    <w:rsid w:val="00FF18C1"/>
    <w:rsid w:val="00FF3CB6"/>
    <w:rsid w:val="019E67FD"/>
    <w:rsid w:val="040A61E4"/>
    <w:rsid w:val="046A089B"/>
    <w:rsid w:val="06426E7E"/>
    <w:rsid w:val="081080E0"/>
    <w:rsid w:val="08278743"/>
    <w:rsid w:val="0A8B9C5C"/>
    <w:rsid w:val="0F8B6E28"/>
    <w:rsid w:val="17993068"/>
    <w:rsid w:val="18C5A7CF"/>
    <w:rsid w:val="1B6783B5"/>
    <w:rsid w:val="1D7B94AA"/>
    <w:rsid w:val="1E7AC16D"/>
    <w:rsid w:val="1F01A941"/>
    <w:rsid w:val="224DE24F"/>
    <w:rsid w:val="22F0EFCC"/>
    <w:rsid w:val="290AD8B8"/>
    <w:rsid w:val="290DC038"/>
    <w:rsid w:val="2A084E9E"/>
    <w:rsid w:val="2A5C00DC"/>
    <w:rsid w:val="2B7030F1"/>
    <w:rsid w:val="2CCB3861"/>
    <w:rsid w:val="30C14750"/>
    <w:rsid w:val="3EECEED3"/>
    <w:rsid w:val="45F0F962"/>
    <w:rsid w:val="48E35857"/>
    <w:rsid w:val="49739338"/>
    <w:rsid w:val="4DCFD3BE"/>
    <w:rsid w:val="4DF1A06F"/>
    <w:rsid w:val="4F7EB34B"/>
    <w:rsid w:val="5200A7B9"/>
    <w:rsid w:val="529E36A2"/>
    <w:rsid w:val="5B3C1B16"/>
    <w:rsid w:val="5DC9F306"/>
    <w:rsid w:val="5F8DFA1F"/>
    <w:rsid w:val="5F99CD2C"/>
    <w:rsid w:val="60409108"/>
    <w:rsid w:val="61F8601A"/>
    <w:rsid w:val="63BCC9E0"/>
    <w:rsid w:val="64BAFC01"/>
    <w:rsid w:val="675A13FA"/>
    <w:rsid w:val="677679B5"/>
    <w:rsid w:val="68CC0869"/>
    <w:rsid w:val="73E106B2"/>
    <w:rsid w:val="749FFC0F"/>
    <w:rsid w:val="763640DC"/>
    <w:rsid w:val="7BBB29DF"/>
    <w:rsid w:val="7DB3B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AAB"/>
  <w15:chartTrackingRefBased/>
  <w15:docId w15:val="{B1BB0BF3-4679-4D54-8F7F-E055A2EA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7BC5"/>
    <w:rPr>
      <w:sz w:val="16"/>
      <w:szCs w:val="16"/>
    </w:rPr>
  </w:style>
  <w:style w:type="paragraph" w:styleId="CommentText">
    <w:name w:val="annotation text"/>
    <w:basedOn w:val="Normal"/>
    <w:link w:val="CommentTextChar"/>
    <w:uiPriority w:val="99"/>
    <w:unhideWhenUsed/>
    <w:rsid w:val="00CD7BC5"/>
    <w:rPr>
      <w:sz w:val="20"/>
      <w:szCs w:val="20"/>
    </w:rPr>
  </w:style>
  <w:style w:type="character" w:customStyle="1" w:styleId="CommentTextChar">
    <w:name w:val="Comment Text Char"/>
    <w:basedOn w:val="DefaultParagraphFont"/>
    <w:link w:val="CommentText"/>
    <w:uiPriority w:val="99"/>
    <w:rsid w:val="00CD7BC5"/>
    <w:rPr>
      <w:sz w:val="20"/>
      <w:szCs w:val="20"/>
    </w:rPr>
  </w:style>
  <w:style w:type="paragraph" w:styleId="CommentSubject">
    <w:name w:val="annotation subject"/>
    <w:basedOn w:val="CommentText"/>
    <w:next w:val="CommentText"/>
    <w:link w:val="CommentSubjectChar"/>
    <w:uiPriority w:val="99"/>
    <w:semiHidden/>
    <w:unhideWhenUsed/>
    <w:rsid w:val="00CD7BC5"/>
    <w:rPr>
      <w:b/>
      <w:bCs/>
    </w:rPr>
  </w:style>
  <w:style w:type="character" w:customStyle="1" w:styleId="CommentSubjectChar">
    <w:name w:val="Comment Subject Char"/>
    <w:basedOn w:val="CommentTextChar"/>
    <w:link w:val="CommentSubject"/>
    <w:uiPriority w:val="99"/>
    <w:semiHidden/>
    <w:rsid w:val="00CD7BC5"/>
    <w:rPr>
      <w:b/>
      <w:bCs/>
      <w:sz w:val="20"/>
      <w:szCs w:val="20"/>
    </w:rPr>
  </w:style>
  <w:style w:type="paragraph" w:styleId="ListParagraph">
    <w:name w:val="List Paragraph"/>
    <w:basedOn w:val="Normal"/>
    <w:uiPriority w:val="34"/>
    <w:qFormat/>
    <w:rsid w:val="00373F0A"/>
    <w:pPr>
      <w:ind w:left="720"/>
      <w:contextualSpacing/>
    </w:pPr>
  </w:style>
  <w:style w:type="character" w:styleId="Hyperlink">
    <w:name w:val="Hyperlink"/>
    <w:basedOn w:val="DefaultParagraphFont"/>
    <w:uiPriority w:val="99"/>
    <w:unhideWhenUsed/>
    <w:rsid w:val="00A11A15"/>
    <w:rPr>
      <w:color w:val="0563C1" w:themeColor="hyperlink"/>
      <w:u w:val="single"/>
    </w:rPr>
  </w:style>
  <w:style w:type="character" w:styleId="UnresolvedMention">
    <w:name w:val="Unresolved Mention"/>
    <w:basedOn w:val="DefaultParagraphFont"/>
    <w:uiPriority w:val="99"/>
    <w:semiHidden/>
    <w:unhideWhenUsed/>
    <w:rsid w:val="00A11A15"/>
    <w:rPr>
      <w:color w:val="605E5C"/>
      <w:shd w:val="clear" w:color="auto" w:fill="E1DFDD"/>
    </w:rPr>
  </w:style>
  <w:style w:type="paragraph" w:styleId="Revision">
    <w:name w:val="Revision"/>
    <w:hidden/>
    <w:uiPriority w:val="99"/>
    <w:semiHidden/>
    <w:rsid w:val="007157E6"/>
  </w:style>
  <w:style w:type="character" w:styleId="Mention">
    <w:name w:val="Mention"/>
    <w:basedOn w:val="DefaultParagraphFont"/>
    <w:uiPriority w:val="99"/>
    <w:unhideWhenUsed/>
    <w:rsid w:val="008B0F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98199">
      <w:bodyDiv w:val="1"/>
      <w:marLeft w:val="0"/>
      <w:marRight w:val="0"/>
      <w:marTop w:val="0"/>
      <w:marBottom w:val="0"/>
      <w:divBdr>
        <w:top w:val="none" w:sz="0" w:space="0" w:color="auto"/>
        <w:left w:val="none" w:sz="0" w:space="0" w:color="auto"/>
        <w:bottom w:val="none" w:sz="0" w:space="0" w:color="auto"/>
        <w:right w:val="none" w:sz="0" w:space="0" w:color="auto"/>
      </w:divBdr>
    </w:div>
    <w:div w:id="523444310">
      <w:bodyDiv w:val="1"/>
      <w:marLeft w:val="0"/>
      <w:marRight w:val="0"/>
      <w:marTop w:val="0"/>
      <w:marBottom w:val="0"/>
      <w:divBdr>
        <w:top w:val="none" w:sz="0" w:space="0" w:color="auto"/>
        <w:left w:val="none" w:sz="0" w:space="0" w:color="auto"/>
        <w:bottom w:val="none" w:sz="0" w:space="0" w:color="auto"/>
        <w:right w:val="none" w:sz="0" w:space="0" w:color="auto"/>
      </w:divBdr>
    </w:div>
    <w:div w:id="1581524774">
      <w:bodyDiv w:val="1"/>
      <w:marLeft w:val="0"/>
      <w:marRight w:val="0"/>
      <w:marTop w:val="0"/>
      <w:marBottom w:val="0"/>
      <w:divBdr>
        <w:top w:val="none" w:sz="0" w:space="0" w:color="auto"/>
        <w:left w:val="none" w:sz="0" w:space="0" w:color="auto"/>
        <w:bottom w:val="none" w:sz="0" w:space="0" w:color="auto"/>
        <w:right w:val="none" w:sz="0" w:space="0" w:color="auto"/>
      </w:divBdr>
    </w:div>
    <w:div w:id="1949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7D16-2090-4EB9-8D0B-1BC1059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4</DocSecurity>
  <Lines>44</Lines>
  <Paragraphs>12</Paragraphs>
  <ScaleCrop>false</ScaleCrop>
  <Company>City of Seattle</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Melencio, Nina</dc:creator>
  <cp:keywords/>
  <dc:description/>
  <cp:lastModifiedBy>Wong, Carol</cp:lastModifiedBy>
  <cp:revision>2</cp:revision>
  <dcterms:created xsi:type="dcterms:W3CDTF">2024-08-21T21:50:00Z</dcterms:created>
  <dcterms:modified xsi:type="dcterms:W3CDTF">2024-08-21T21:50:00Z</dcterms:modified>
</cp:coreProperties>
</file>